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dgm="http://schemas.openxmlformats.org/drawingml/2006/diagram"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2657" w:rsidR="00987029" w:rsidP="007475C0" w:rsidRDefault="00987029" w14:paraId="23C53E78" w14:textId="0206F623">
      <w:pPr>
        <w:pStyle w:val="ssPara"/>
      </w:pPr>
    </w:p>
    <w:tbl>
      <w:tblPr>
        <w:tblW w:w="0" w:type="auto"/>
        <w:tblLayout w:type="fixed"/>
        <w:tblLook w:val="04A0" w:firstRow="1" w:lastRow="0" w:firstColumn="1" w:lastColumn="0" w:noHBand="0" w:noVBand="1"/>
      </w:tblPr>
      <w:tblGrid>
        <w:gridCol w:w="9524"/>
      </w:tblGrid>
      <w:tr w:rsidRPr="00132657" w:rsidR="00987029" w:rsidTr="00D93F1B" w14:paraId="681ED231" w14:textId="77777777">
        <w:trPr>
          <w:trHeight w:val="3126"/>
        </w:trPr>
        <w:tc>
          <w:tcPr>
            <w:tcW w:w="9524" w:type="dxa"/>
          </w:tcPr>
          <w:p w:rsidRPr="00132657" w:rsidR="00987029" w:rsidP="007475C0" w:rsidRDefault="00987029" w14:paraId="60FA5523" w14:textId="39134081">
            <w:pPr>
              <w:pStyle w:val="ssPara"/>
              <w:jc w:val="center"/>
            </w:pPr>
            <w:bookmarkStart w:name="_Hlk16086530" w:id="0"/>
            <w:r w:rsidRPr="00132657">
              <w:rPr>
                <w:rFonts w:cs="Arial"/>
                <w:b/>
              </w:rPr>
              <w:t>SUPPLEMENT</w:t>
            </w:r>
          </w:p>
          <w:p w:rsidRPr="00C07799" w:rsidR="00987029" w:rsidP="00D93F1B" w:rsidRDefault="00987029" w14:paraId="4DF26BCF" w14:textId="77777777">
            <w:pPr>
              <w:rPr>
                <w:rFonts w:cs="Arial"/>
              </w:rPr>
            </w:pPr>
          </w:p>
        </w:tc>
      </w:tr>
      <w:tr w:rsidRPr="00132657" w:rsidR="00987029" w:rsidTr="00D93F1B" w14:paraId="1EA8FB1F" w14:textId="77777777">
        <w:trPr>
          <w:trHeight w:val="3404"/>
        </w:trPr>
        <w:tc>
          <w:tcPr>
            <w:tcW w:w="9524" w:type="dxa"/>
          </w:tcPr>
          <w:p w:rsidRPr="00132657" w:rsidR="00987029" w:rsidP="007475C0" w:rsidRDefault="00FF65E2" w14:paraId="01729485" w14:textId="77777777">
            <w:pPr>
              <w:pStyle w:val="ssPara"/>
            </w:pPr>
            <w:r>
              <w:rPr>
                <w:rFonts w:cs="Arial"/>
                <w:color w:val="2B579A"/>
                <w:shd w:val="clear" w:color="auto" w:fill="E6E6E6"/>
              </w:rPr>
              <w:pict w14:anchorId="1724BF2D">
                <v:rect id="_x0000_i1025" style="width:465.4pt;height:1.5pt" o:hr="t" o:hrstd="t" o:hrnoshade="t" o:hralign="center" fillcolor="#f8485e" stroked="f"/>
              </w:pict>
            </w:r>
          </w:p>
          <w:p w:rsidRPr="00132657" w:rsidR="00987029" w:rsidP="007475C0" w:rsidRDefault="007E4371" w14:paraId="23B86951" w14:textId="0CC3BD93">
            <w:pPr>
              <w:pStyle w:val="ssPara"/>
              <w:jc w:val="center"/>
              <w:rPr>
                <w:b/>
                <w:bCs/>
              </w:rPr>
            </w:pPr>
            <w:r>
              <w:rPr>
                <w:b/>
                <w:bCs/>
              </w:rPr>
              <w:t>CO</w:t>
            </w:r>
            <w:r w:rsidR="00987029">
              <w:rPr>
                <w:b/>
                <w:bCs/>
              </w:rPr>
              <w:t xml:space="preserve"> </w:t>
            </w:r>
            <w:r w:rsidRPr="00132657" w:rsidR="00987029">
              <w:rPr>
                <w:b/>
                <w:bCs/>
              </w:rPr>
              <w:t>EURIZON SLJ EM BOND</w:t>
            </w:r>
            <w:r w:rsidR="00987029">
              <w:rPr>
                <w:b/>
                <w:bCs/>
              </w:rPr>
              <w:t xml:space="preserve"> STRATEGIC INCOME</w:t>
            </w:r>
            <w:r w:rsidRPr="00132657" w:rsidR="00987029">
              <w:rPr>
                <w:b/>
                <w:bCs/>
              </w:rPr>
              <w:t xml:space="preserve"> UCITS ETF</w:t>
            </w:r>
          </w:p>
          <w:p w:rsidRPr="00132657" w:rsidR="00987029" w:rsidP="007475C0" w:rsidRDefault="00987029" w14:paraId="2D25D4A0" w14:textId="3616F8DF">
            <w:pPr>
              <w:pStyle w:val="ssPara"/>
              <w:spacing w:after="0"/>
              <w:jc w:val="center"/>
            </w:pPr>
            <w:r w:rsidRPr="00132657">
              <w:t>This Supplement contains information in relation to</w:t>
            </w:r>
          </w:p>
          <w:p w:rsidRPr="00132657" w:rsidR="00987029" w:rsidP="007475C0" w:rsidRDefault="007E4371" w14:paraId="1F5AC649" w14:textId="78313822">
            <w:pPr>
              <w:pStyle w:val="ssPara"/>
              <w:jc w:val="center"/>
            </w:pPr>
            <w:r>
              <w:t>CO</w:t>
            </w:r>
            <w:r w:rsidR="00987029">
              <w:t xml:space="preserve"> </w:t>
            </w:r>
            <w:proofErr w:type="spellStart"/>
            <w:r w:rsidRPr="00132657" w:rsidR="00987029">
              <w:t>Eurizon</w:t>
            </w:r>
            <w:proofErr w:type="spellEnd"/>
            <w:r w:rsidRPr="00132657" w:rsidR="00987029">
              <w:t xml:space="preserve"> SLJ EM Bond</w:t>
            </w:r>
            <w:r w:rsidR="00987029">
              <w:t xml:space="preserve"> Strategic Income</w:t>
            </w:r>
            <w:r w:rsidRPr="00132657" w:rsidR="00987029">
              <w:t xml:space="preserve"> UCITS ETF (the </w:t>
            </w:r>
            <w:r w:rsidR="002A0300">
              <w:t>“</w:t>
            </w:r>
            <w:r w:rsidRPr="00132657" w:rsidR="00987029">
              <w:rPr>
                <w:u w:val="single"/>
              </w:rPr>
              <w:t>Sub-Fund</w:t>
            </w:r>
            <w:proofErr w:type="gramStart"/>
            <w:r w:rsidR="002A0300">
              <w:t>”</w:t>
            </w:r>
            <w:r w:rsidRPr="00132657" w:rsidR="00987029">
              <w:t>)</w:t>
            </w:r>
            <w:r w:rsidR="00A83E19">
              <w:t>*</w:t>
            </w:r>
            <w:proofErr w:type="gramEnd"/>
            <w:r w:rsidRPr="00132657" w:rsidR="00987029">
              <w:t xml:space="preserve">, a sub-fund of </w:t>
            </w:r>
            <w:r>
              <w:t>Connect</w:t>
            </w:r>
            <w:r w:rsidR="00042E11">
              <w:t xml:space="preserve"> ETF</w:t>
            </w:r>
            <w:r w:rsidR="00DD67C4">
              <w:t>s</w:t>
            </w:r>
            <w:r w:rsidRPr="00132657" w:rsidR="00987029">
              <w:t xml:space="preserve"> ICAV, an umbrella Irish Collective Asset-management Vehicle with segregated liability between Sub-Funds and limited liability incorporated under the laws of Ireland with registration number C</w:t>
            </w:r>
            <w:r w:rsidR="00076D0B">
              <w:t>521236.</w:t>
            </w:r>
          </w:p>
          <w:p w:rsidRPr="00132657" w:rsidR="00987029" w:rsidP="007475C0" w:rsidRDefault="00987029" w14:paraId="78758EEC" w14:textId="77777777">
            <w:pPr>
              <w:pStyle w:val="ssPara"/>
              <w:jc w:val="center"/>
            </w:pPr>
          </w:p>
          <w:p w:rsidRPr="00132657" w:rsidR="00987029" w:rsidP="007475C0" w:rsidRDefault="00987029" w14:paraId="75E77BA5" w14:textId="77777777">
            <w:pPr>
              <w:pStyle w:val="ssPara"/>
              <w:spacing w:after="0"/>
              <w:jc w:val="center"/>
              <w:rPr>
                <w:b/>
                <w:bCs/>
              </w:rPr>
            </w:pPr>
            <w:r>
              <w:rPr>
                <w:b/>
                <w:bCs/>
              </w:rPr>
              <w:t>EURIZON SLJ CAPITAL LIMITED</w:t>
            </w:r>
          </w:p>
          <w:p w:rsidRPr="00132657" w:rsidR="00987029" w:rsidP="007475C0" w:rsidRDefault="00987029" w14:paraId="4C7F5523" w14:textId="4A77B3EF">
            <w:pPr>
              <w:pStyle w:val="ssPara"/>
              <w:jc w:val="center"/>
            </w:pPr>
            <w:r w:rsidRPr="00132657">
              <w:t>(INVESTMENT MANAGER)</w:t>
            </w:r>
          </w:p>
          <w:p w:rsidRPr="00132657" w:rsidR="00987029" w:rsidP="007475C0" w:rsidRDefault="00FF65E2" w14:paraId="4BF204A5" w14:textId="77777777">
            <w:pPr>
              <w:pStyle w:val="ssPara"/>
            </w:pPr>
            <w:r>
              <w:rPr>
                <w:color w:val="2B579A"/>
                <w:shd w:val="clear" w:color="auto" w:fill="E6E6E6"/>
              </w:rPr>
              <w:pict w14:anchorId="77C6E17C">
                <v:rect id="_x0000_i1026" style="width:465.4pt;height:1.5pt" o:hr="t" o:hrstd="t" o:hrnoshade="t" o:hralign="center" fillcolor="#f8485e" stroked="f"/>
              </w:pict>
            </w:r>
          </w:p>
        </w:tc>
      </w:tr>
      <w:tr w:rsidRPr="00132657" w:rsidR="00987029" w:rsidTr="00D93F1B" w14:paraId="1D066963" w14:textId="77777777">
        <w:trPr>
          <w:trHeight w:val="271"/>
        </w:trPr>
        <w:tc>
          <w:tcPr>
            <w:tcW w:w="9524" w:type="dxa"/>
          </w:tcPr>
          <w:p w:rsidRPr="00132657" w:rsidR="00987029" w:rsidP="00D93F1B" w:rsidRDefault="00987029" w14:paraId="53B68B2F" w14:textId="77777777">
            <w:pPr>
              <w:rPr>
                <w:rFonts w:cs="Arial"/>
                <w:b/>
              </w:rPr>
            </w:pPr>
          </w:p>
        </w:tc>
      </w:tr>
      <w:tr w:rsidRPr="00132657" w:rsidR="00987029" w:rsidTr="00D93F1B" w14:paraId="33CB5CA4" w14:textId="77777777">
        <w:trPr>
          <w:trHeight w:val="3265"/>
        </w:trPr>
        <w:tc>
          <w:tcPr>
            <w:tcW w:w="9524" w:type="dxa"/>
          </w:tcPr>
          <w:p w:rsidRPr="007475C0" w:rsidR="00987029" w:rsidP="007475C0" w:rsidRDefault="00987029" w14:paraId="6746F39E" w14:textId="2D12DBAB">
            <w:pPr>
              <w:pStyle w:val="ssPara"/>
              <w:rPr>
                <w:b/>
                <w:bCs/>
              </w:rPr>
            </w:pPr>
            <w:r w:rsidRPr="007475C0">
              <w:rPr>
                <w:b/>
                <w:bCs/>
              </w:rPr>
              <w:t xml:space="preserve">This Supplement forms part of, may not be distributed unless accompanied by the Prospectus of </w:t>
            </w:r>
            <w:r w:rsidR="007E4371">
              <w:rPr>
                <w:b/>
                <w:bCs/>
              </w:rPr>
              <w:t>Connect</w:t>
            </w:r>
            <w:r w:rsidR="00042E11">
              <w:rPr>
                <w:b/>
                <w:bCs/>
              </w:rPr>
              <w:t xml:space="preserve"> ETF</w:t>
            </w:r>
            <w:r w:rsidR="00DD67C4">
              <w:rPr>
                <w:b/>
                <w:bCs/>
              </w:rPr>
              <w:t>s</w:t>
            </w:r>
            <w:r w:rsidRPr="007475C0">
              <w:rPr>
                <w:b/>
                <w:bCs/>
              </w:rPr>
              <w:t xml:space="preserve"> ICAV dated </w:t>
            </w:r>
            <w:r w:rsidR="001F2DCE">
              <w:rPr>
                <w:b/>
                <w:bCs/>
              </w:rPr>
              <w:t>1 May</w:t>
            </w:r>
            <w:r w:rsidRPr="007475C0">
              <w:rPr>
                <w:b/>
                <w:bCs/>
              </w:rPr>
              <w:t xml:space="preserve"> 202</w:t>
            </w:r>
            <w:r w:rsidR="007D789F">
              <w:rPr>
                <w:b/>
                <w:bCs/>
              </w:rPr>
              <w:t>4</w:t>
            </w:r>
            <w:r w:rsidRPr="007475C0">
              <w:rPr>
                <w:b/>
                <w:bCs/>
              </w:rPr>
              <w:t xml:space="preserve"> (the </w:t>
            </w:r>
            <w:r w:rsidR="002A0300">
              <w:rPr>
                <w:b/>
                <w:bCs/>
              </w:rPr>
              <w:t>“</w:t>
            </w:r>
            <w:r w:rsidRPr="007475C0">
              <w:rPr>
                <w:b/>
                <w:bCs/>
                <w:u w:val="single"/>
              </w:rPr>
              <w:t>Prospectus</w:t>
            </w:r>
            <w:r w:rsidR="002A0300">
              <w:rPr>
                <w:b/>
                <w:bCs/>
              </w:rPr>
              <w:t>”</w:t>
            </w:r>
            <w:r w:rsidRPr="007475C0">
              <w:rPr>
                <w:b/>
                <w:bCs/>
              </w:rPr>
              <w:t>) (other than to prior recipients of the Prospectus), and must be read in conjunction with, the Prospectus.</w:t>
            </w:r>
          </w:p>
          <w:p w:rsidRPr="007475C0" w:rsidR="00987029" w:rsidP="007475C0" w:rsidRDefault="00987029" w14:paraId="2ADC70AD" w14:textId="77777777">
            <w:pPr>
              <w:pStyle w:val="ssPara"/>
              <w:rPr>
                <w:b/>
                <w:bCs/>
              </w:rPr>
            </w:pPr>
            <w:r w:rsidRPr="007475C0">
              <w:rPr>
                <w:b/>
                <w:bCs/>
              </w:rPr>
              <w:t xml:space="preserve">Capitalised terms used in this Supplement will have the meanings given to them below or in the Prospectus.   </w:t>
            </w:r>
          </w:p>
          <w:p w:rsidRPr="007475C0" w:rsidR="00987029" w:rsidP="007475C0" w:rsidRDefault="00987029" w14:paraId="2C1DB560" w14:textId="378B2A77">
            <w:pPr>
              <w:pStyle w:val="ssPara"/>
              <w:rPr>
                <w:b/>
                <w:bCs/>
              </w:rPr>
            </w:pPr>
            <w:bookmarkStart w:name="_Hlk147752862" w:id="1"/>
            <w:r w:rsidRPr="007475C0">
              <w:rPr>
                <w:b/>
                <w:bCs/>
              </w:rPr>
              <w:t xml:space="preserve">The Sub-Fund may invest more than 20% of its Net Asset Value in </w:t>
            </w:r>
            <w:r w:rsidRPr="007475C0" w:rsidR="009605AE">
              <w:rPr>
                <w:b/>
                <w:bCs/>
              </w:rPr>
              <w:t>E</w:t>
            </w:r>
            <w:r w:rsidRPr="007475C0">
              <w:rPr>
                <w:b/>
                <w:bCs/>
              </w:rPr>
              <w:t xml:space="preserve">merging </w:t>
            </w:r>
            <w:r w:rsidRPr="007475C0" w:rsidR="009605AE">
              <w:rPr>
                <w:b/>
                <w:bCs/>
              </w:rPr>
              <w:t>M</w:t>
            </w:r>
            <w:r w:rsidRPr="007475C0">
              <w:rPr>
                <w:b/>
                <w:bCs/>
              </w:rPr>
              <w:t>arkets and accordingly investment in the Sub-Fund should not constitute a substantial proportion of an investor</w:t>
            </w:r>
            <w:r w:rsidR="002A0300">
              <w:rPr>
                <w:b/>
                <w:bCs/>
              </w:rPr>
              <w:t>’</w:t>
            </w:r>
            <w:r w:rsidRPr="007475C0">
              <w:rPr>
                <w:b/>
                <w:bCs/>
              </w:rPr>
              <w:t>s investment portfolio and may not be appropriate for all investors. Investors should also be aware of the potential for high volatility within the Sub-Fund.</w:t>
            </w:r>
            <w:bookmarkEnd w:id="1"/>
          </w:p>
          <w:p w:rsidRPr="007475C0" w:rsidR="00987029" w:rsidP="007475C0" w:rsidRDefault="00987029" w14:paraId="183491D5" w14:textId="77777777">
            <w:pPr>
              <w:pStyle w:val="ssPara"/>
              <w:rPr>
                <w:b/>
                <w:bCs/>
                <w:lang w:val="en-IE"/>
              </w:rPr>
            </w:pPr>
            <w:r w:rsidRPr="007475C0">
              <w:rPr>
                <w:b/>
                <w:bCs/>
              </w:rPr>
              <w:t>The Shares of the Sub-Fund purchased on the Secondary Market cannot usually be sold directly back to the Sub-Fund. Investors must buy and sell Shares on a Secondary Market with the assistance of an intermediary (e.g. a stockbroker) and may incur fees for doing so. In addition, investors may pay more than the current Net Asset Value when buying Shares and may receive less than the current Net Asset Value when selling them.</w:t>
            </w:r>
          </w:p>
        </w:tc>
      </w:tr>
      <w:tr w:rsidRPr="00132657" w:rsidR="00987029" w:rsidTr="00D93F1B" w14:paraId="726ECC25" w14:textId="77777777">
        <w:trPr>
          <w:trHeight w:val="1045"/>
        </w:trPr>
        <w:tc>
          <w:tcPr>
            <w:tcW w:w="9524" w:type="dxa"/>
          </w:tcPr>
          <w:p w:rsidRPr="00132657" w:rsidR="00987029" w:rsidP="007475C0" w:rsidRDefault="00987029" w14:paraId="74757254" w14:textId="77777777">
            <w:pPr>
              <w:pStyle w:val="ssPara"/>
            </w:pPr>
          </w:p>
          <w:p w:rsidR="00987029" w:rsidP="007475C0" w:rsidRDefault="00FF65E2" w14:paraId="3B8508E8" w14:textId="5696CD9B">
            <w:pPr>
              <w:pStyle w:val="ssPara"/>
              <w:jc w:val="center"/>
            </w:pPr>
            <w:r>
              <w:t xml:space="preserve">31 October </w:t>
            </w:r>
            <w:r w:rsidRPr="00132657" w:rsidR="00987029">
              <w:t>202</w:t>
            </w:r>
            <w:r w:rsidR="005472AE">
              <w:t>5</w:t>
            </w:r>
          </w:p>
          <w:p w:rsidRPr="00132657" w:rsidR="00A83E19" w:rsidP="00A83E19" w:rsidRDefault="00A83E19" w14:paraId="58AFFC4C" w14:textId="5E0044D3">
            <w:pPr>
              <w:pStyle w:val="ssPara"/>
              <w:numPr>
                <w:ilvl w:val="0"/>
                <w:numId w:val="0"/>
              </w:numPr>
              <w:jc w:val="left"/>
            </w:pPr>
            <w:r>
              <w:t>*</w:t>
            </w:r>
            <w:r w:rsidRPr="00A83E19">
              <w:rPr>
                <w:i/>
                <w:iCs/>
                <w:sz w:val="18"/>
                <w:szCs w:val="18"/>
              </w:rPr>
              <w:t>’CO’ is an abbreviation of ‘Connect’</w:t>
            </w:r>
          </w:p>
        </w:tc>
      </w:tr>
    </w:tbl>
    <w:p w:rsidRPr="007475C0" w:rsidR="00987029" w:rsidP="00CC6EAB" w:rsidRDefault="00987029" w14:paraId="073E8362" w14:textId="5BFA58B5">
      <w:pPr>
        <w:pStyle w:val="ssPara"/>
        <w:jc w:val="center"/>
        <w:rPr>
          <w:b/>
          <w:bCs/>
          <w:vertAlign w:val="superscript"/>
        </w:rPr>
      </w:pPr>
      <w:r w:rsidRPr="00132657">
        <w:br w:type="page"/>
      </w:r>
      <w:r w:rsidRPr="007475C0">
        <w:rPr>
          <w:b/>
          <w:bCs/>
        </w:rPr>
        <w:lastRenderedPageBreak/>
        <w:t>CONTENTS</w:t>
      </w:r>
    </w:p>
    <w:p w:rsidR="00B13A51" w:rsidRDefault="00987029" w14:paraId="313699B0" w14:textId="0B7AF3EE">
      <w:pPr>
        <w:pStyle w:val="TOC1"/>
        <w:rPr>
          <w:rFonts w:asciiTheme="minorHAnsi" w:hAnsiTheme="minorHAnsi" w:eastAsiaTheme="minorEastAsia"/>
          <w:noProof/>
          <w:lang w:eastAsia="zh-CN"/>
        </w:rPr>
      </w:pPr>
      <w:r w:rsidRPr="00132657">
        <w:rPr>
          <w:rFonts w:cs="Arial"/>
        </w:rPr>
        <w:fldChar w:fldCharType="begin"/>
      </w:r>
      <w:r w:rsidRPr="00132657">
        <w:rPr>
          <w:rFonts w:cs="Arial"/>
        </w:rPr>
        <w:instrText xml:space="preserve"> TOC \h \z \t "Heading 1,1,ssqAppendix,5" </w:instrText>
      </w:r>
      <w:r w:rsidRPr="00132657">
        <w:rPr>
          <w:rFonts w:cs="Arial"/>
        </w:rPr>
        <w:fldChar w:fldCharType="separate"/>
      </w:r>
      <w:hyperlink w:history="1" w:anchor="_Toc160050445">
        <w:r w:rsidRPr="00CC7C2B" w:rsidR="00B13A51">
          <w:rPr>
            <w:rStyle w:val="Hyperlink"/>
            <w:rFonts w:eastAsiaTheme="minorHAnsi"/>
            <w:noProof/>
          </w:rPr>
          <w:t>GENERAL INFORMATION</w:t>
        </w:r>
        <w:r w:rsidR="00B13A51">
          <w:rPr>
            <w:noProof/>
            <w:webHidden/>
          </w:rPr>
          <w:tab/>
        </w:r>
        <w:r w:rsidR="00B13A51">
          <w:rPr>
            <w:noProof/>
            <w:webHidden/>
          </w:rPr>
          <w:fldChar w:fldCharType="begin"/>
        </w:r>
        <w:r w:rsidR="00B13A51">
          <w:rPr>
            <w:noProof/>
            <w:webHidden/>
          </w:rPr>
          <w:instrText xml:space="preserve"> PAGEREF _Toc160050445 \h </w:instrText>
        </w:r>
        <w:r w:rsidR="00B13A51">
          <w:rPr>
            <w:noProof/>
            <w:webHidden/>
          </w:rPr>
        </w:r>
        <w:r w:rsidR="00B13A51">
          <w:rPr>
            <w:noProof/>
            <w:webHidden/>
          </w:rPr>
          <w:fldChar w:fldCharType="separate"/>
        </w:r>
        <w:r w:rsidR="00F010BD">
          <w:rPr>
            <w:noProof/>
            <w:webHidden/>
          </w:rPr>
          <w:t>3</w:t>
        </w:r>
        <w:r w:rsidR="00B13A51">
          <w:rPr>
            <w:noProof/>
            <w:webHidden/>
          </w:rPr>
          <w:fldChar w:fldCharType="end"/>
        </w:r>
      </w:hyperlink>
    </w:p>
    <w:p w:rsidR="00B13A51" w:rsidRDefault="00B13A51" w14:paraId="16B2BD19" w14:textId="6138198F">
      <w:pPr>
        <w:pStyle w:val="TOC1"/>
        <w:rPr>
          <w:rFonts w:asciiTheme="minorHAnsi" w:hAnsiTheme="minorHAnsi" w:eastAsiaTheme="minorEastAsia"/>
          <w:noProof/>
          <w:lang w:eastAsia="zh-CN"/>
        </w:rPr>
      </w:pPr>
      <w:hyperlink w:history="1" w:anchor="_Toc160050446">
        <w:r w:rsidRPr="00CC7C2B">
          <w:rPr>
            <w:rStyle w:val="Hyperlink"/>
            <w:rFonts w:eastAsiaTheme="minorHAnsi"/>
            <w:noProof/>
          </w:rPr>
          <w:t>INVESTMENT OBJECTIVE, POLICY, STRATEGY AND RESTRICTIONS</w:t>
        </w:r>
        <w:r>
          <w:rPr>
            <w:noProof/>
            <w:webHidden/>
          </w:rPr>
          <w:tab/>
        </w:r>
        <w:r>
          <w:rPr>
            <w:noProof/>
            <w:webHidden/>
          </w:rPr>
          <w:fldChar w:fldCharType="begin"/>
        </w:r>
        <w:r>
          <w:rPr>
            <w:noProof/>
            <w:webHidden/>
          </w:rPr>
          <w:instrText xml:space="preserve"> PAGEREF _Toc160050446 \h </w:instrText>
        </w:r>
        <w:r>
          <w:rPr>
            <w:noProof/>
            <w:webHidden/>
          </w:rPr>
        </w:r>
        <w:r>
          <w:rPr>
            <w:noProof/>
            <w:webHidden/>
          </w:rPr>
          <w:fldChar w:fldCharType="separate"/>
        </w:r>
        <w:r w:rsidR="00F010BD">
          <w:rPr>
            <w:noProof/>
            <w:webHidden/>
          </w:rPr>
          <w:t>6</w:t>
        </w:r>
        <w:r>
          <w:rPr>
            <w:noProof/>
            <w:webHidden/>
          </w:rPr>
          <w:fldChar w:fldCharType="end"/>
        </w:r>
      </w:hyperlink>
    </w:p>
    <w:p w:rsidR="00B13A51" w:rsidRDefault="00B13A51" w14:paraId="620D187C" w14:textId="006FF594">
      <w:pPr>
        <w:pStyle w:val="TOC1"/>
        <w:rPr>
          <w:rFonts w:asciiTheme="minorHAnsi" w:hAnsiTheme="minorHAnsi" w:eastAsiaTheme="minorEastAsia"/>
          <w:noProof/>
          <w:lang w:eastAsia="zh-CN"/>
        </w:rPr>
      </w:pPr>
      <w:hyperlink w:history="1" w:anchor="_Toc160050447">
        <w:r w:rsidRPr="00CC7C2B">
          <w:rPr>
            <w:rStyle w:val="Hyperlink"/>
            <w:rFonts w:eastAsiaTheme="minorHAnsi"/>
            <w:noProof/>
          </w:rPr>
          <w:t>SHARE CLASSES</w:t>
        </w:r>
        <w:r>
          <w:rPr>
            <w:noProof/>
            <w:webHidden/>
          </w:rPr>
          <w:tab/>
        </w:r>
        <w:r>
          <w:rPr>
            <w:noProof/>
            <w:webHidden/>
          </w:rPr>
          <w:fldChar w:fldCharType="begin"/>
        </w:r>
        <w:r>
          <w:rPr>
            <w:noProof/>
            <w:webHidden/>
          </w:rPr>
          <w:instrText xml:space="preserve"> PAGEREF _Toc160050447 \h </w:instrText>
        </w:r>
        <w:r>
          <w:rPr>
            <w:noProof/>
            <w:webHidden/>
          </w:rPr>
        </w:r>
        <w:r>
          <w:rPr>
            <w:noProof/>
            <w:webHidden/>
          </w:rPr>
          <w:fldChar w:fldCharType="separate"/>
        </w:r>
        <w:r w:rsidR="00F010BD">
          <w:rPr>
            <w:noProof/>
            <w:webHidden/>
          </w:rPr>
          <w:t>11</w:t>
        </w:r>
        <w:r>
          <w:rPr>
            <w:noProof/>
            <w:webHidden/>
          </w:rPr>
          <w:fldChar w:fldCharType="end"/>
        </w:r>
      </w:hyperlink>
    </w:p>
    <w:p w:rsidR="00B13A51" w:rsidRDefault="00B13A51" w14:paraId="2B7133ED" w14:textId="24C289EC">
      <w:pPr>
        <w:pStyle w:val="TOC1"/>
        <w:rPr>
          <w:rFonts w:asciiTheme="minorHAnsi" w:hAnsiTheme="minorHAnsi" w:eastAsiaTheme="minorEastAsia"/>
          <w:noProof/>
          <w:lang w:eastAsia="zh-CN"/>
        </w:rPr>
      </w:pPr>
      <w:hyperlink w:history="1" w:anchor="_Toc160050448">
        <w:r w:rsidRPr="00CC7C2B">
          <w:rPr>
            <w:rStyle w:val="Hyperlink"/>
            <w:rFonts w:eastAsiaTheme="minorHAnsi"/>
            <w:noProof/>
          </w:rPr>
          <w:t>DEALING</w:t>
        </w:r>
        <w:r>
          <w:rPr>
            <w:noProof/>
            <w:webHidden/>
          </w:rPr>
          <w:tab/>
        </w:r>
        <w:r>
          <w:rPr>
            <w:noProof/>
            <w:webHidden/>
          </w:rPr>
          <w:fldChar w:fldCharType="begin"/>
        </w:r>
        <w:r>
          <w:rPr>
            <w:noProof/>
            <w:webHidden/>
          </w:rPr>
          <w:instrText xml:space="preserve"> PAGEREF _Toc160050448 \h </w:instrText>
        </w:r>
        <w:r>
          <w:rPr>
            <w:noProof/>
            <w:webHidden/>
          </w:rPr>
        </w:r>
        <w:r>
          <w:rPr>
            <w:noProof/>
            <w:webHidden/>
          </w:rPr>
          <w:fldChar w:fldCharType="separate"/>
        </w:r>
        <w:r w:rsidR="00F010BD">
          <w:rPr>
            <w:noProof/>
            <w:webHidden/>
          </w:rPr>
          <w:t>12</w:t>
        </w:r>
        <w:r>
          <w:rPr>
            <w:noProof/>
            <w:webHidden/>
          </w:rPr>
          <w:fldChar w:fldCharType="end"/>
        </w:r>
      </w:hyperlink>
    </w:p>
    <w:p w:rsidR="00B13A51" w:rsidRDefault="00B13A51" w14:paraId="30E1CDA3" w14:textId="0BA2D291">
      <w:pPr>
        <w:pStyle w:val="TOC1"/>
        <w:rPr>
          <w:rFonts w:asciiTheme="minorHAnsi" w:hAnsiTheme="minorHAnsi" w:eastAsiaTheme="minorEastAsia"/>
          <w:noProof/>
          <w:lang w:eastAsia="zh-CN"/>
        </w:rPr>
      </w:pPr>
      <w:hyperlink w:history="1" w:anchor="_Toc160050449">
        <w:r w:rsidRPr="00CC7C2B">
          <w:rPr>
            <w:rStyle w:val="Hyperlink"/>
            <w:rFonts w:eastAsiaTheme="minorHAnsi"/>
            <w:noProof/>
          </w:rPr>
          <w:t>FEES AND EXPENSES</w:t>
        </w:r>
        <w:r>
          <w:rPr>
            <w:noProof/>
            <w:webHidden/>
          </w:rPr>
          <w:tab/>
        </w:r>
        <w:r>
          <w:rPr>
            <w:noProof/>
            <w:webHidden/>
          </w:rPr>
          <w:fldChar w:fldCharType="begin"/>
        </w:r>
        <w:r>
          <w:rPr>
            <w:noProof/>
            <w:webHidden/>
          </w:rPr>
          <w:instrText xml:space="preserve"> PAGEREF _Toc160050449 \h </w:instrText>
        </w:r>
        <w:r>
          <w:rPr>
            <w:noProof/>
            <w:webHidden/>
          </w:rPr>
        </w:r>
        <w:r>
          <w:rPr>
            <w:noProof/>
            <w:webHidden/>
          </w:rPr>
          <w:fldChar w:fldCharType="separate"/>
        </w:r>
        <w:r w:rsidR="00F010BD">
          <w:rPr>
            <w:noProof/>
            <w:webHidden/>
          </w:rPr>
          <w:t>14</w:t>
        </w:r>
        <w:r>
          <w:rPr>
            <w:noProof/>
            <w:webHidden/>
          </w:rPr>
          <w:fldChar w:fldCharType="end"/>
        </w:r>
      </w:hyperlink>
    </w:p>
    <w:p w:rsidR="00B13A51" w:rsidRDefault="00B13A51" w14:paraId="619AA514" w14:textId="00D11D8C">
      <w:pPr>
        <w:pStyle w:val="TOC1"/>
        <w:rPr>
          <w:rFonts w:asciiTheme="minorHAnsi" w:hAnsiTheme="minorHAnsi" w:eastAsiaTheme="minorEastAsia"/>
          <w:noProof/>
          <w:lang w:eastAsia="zh-CN"/>
        </w:rPr>
      </w:pPr>
      <w:hyperlink w:history="1" w:anchor="_Toc160050450">
        <w:r w:rsidRPr="00CC7C2B">
          <w:rPr>
            <w:rStyle w:val="Hyperlink"/>
            <w:rFonts w:eastAsiaTheme="minorHAnsi"/>
            <w:noProof/>
          </w:rPr>
          <w:t>EU SUSTAINABLE FINANCE DISCLOSURE REGULATION</w:t>
        </w:r>
        <w:r>
          <w:rPr>
            <w:noProof/>
            <w:webHidden/>
          </w:rPr>
          <w:tab/>
        </w:r>
        <w:r>
          <w:rPr>
            <w:noProof/>
            <w:webHidden/>
          </w:rPr>
          <w:fldChar w:fldCharType="begin"/>
        </w:r>
        <w:r>
          <w:rPr>
            <w:noProof/>
            <w:webHidden/>
          </w:rPr>
          <w:instrText xml:space="preserve"> PAGEREF _Toc160050450 \h </w:instrText>
        </w:r>
        <w:r>
          <w:rPr>
            <w:noProof/>
            <w:webHidden/>
          </w:rPr>
        </w:r>
        <w:r>
          <w:rPr>
            <w:noProof/>
            <w:webHidden/>
          </w:rPr>
          <w:fldChar w:fldCharType="separate"/>
        </w:r>
        <w:r w:rsidR="00F010BD">
          <w:rPr>
            <w:noProof/>
            <w:webHidden/>
          </w:rPr>
          <w:t>15</w:t>
        </w:r>
        <w:r>
          <w:rPr>
            <w:noProof/>
            <w:webHidden/>
          </w:rPr>
          <w:fldChar w:fldCharType="end"/>
        </w:r>
      </w:hyperlink>
    </w:p>
    <w:p w:rsidR="00B13A51" w:rsidRDefault="00B13A51" w14:paraId="04BBD952" w14:textId="6BBB7A9C">
      <w:pPr>
        <w:pStyle w:val="TOC1"/>
        <w:rPr>
          <w:rFonts w:asciiTheme="minorHAnsi" w:hAnsiTheme="minorHAnsi" w:eastAsiaTheme="minorEastAsia"/>
          <w:noProof/>
          <w:lang w:eastAsia="zh-CN"/>
        </w:rPr>
      </w:pPr>
      <w:hyperlink w:history="1" w:anchor="_Toc160050451">
        <w:r w:rsidRPr="00CC7C2B">
          <w:rPr>
            <w:rStyle w:val="Hyperlink"/>
            <w:rFonts w:eastAsiaTheme="minorHAnsi"/>
            <w:noProof/>
          </w:rPr>
          <w:t>RISK FACTORS</w:t>
        </w:r>
        <w:r>
          <w:rPr>
            <w:noProof/>
            <w:webHidden/>
          </w:rPr>
          <w:tab/>
        </w:r>
        <w:r>
          <w:rPr>
            <w:noProof/>
            <w:webHidden/>
          </w:rPr>
          <w:fldChar w:fldCharType="begin"/>
        </w:r>
        <w:r>
          <w:rPr>
            <w:noProof/>
            <w:webHidden/>
          </w:rPr>
          <w:instrText xml:space="preserve"> PAGEREF _Toc160050451 \h </w:instrText>
        </w:r>
        <w:r>
          <w:rPr>
            <w:noProof/>
            <w:webHidden/>
          </w:rPr>
        </w:r>
        <w:r>
          <w:rPr>
            <w:noProof/>
            <w:webHidden/>
          </w:rPr>
          <w:fldChar w:fldCharType="separate"/>
        </w:r>
        <w:r w:rsidR="00F010BD">
          <w:rPr>
            <w:noProof/>
            <w:webHidden/>
          </w:rPr>
          <w:t>16</w:t>
        </w:r>
        <w:r>
          <w:rPr>
            <w:noProof/>
            <w:webHidden/>
          </w:rPr>
          <w:fldChar w:fldCharType="end"/>
        </w:r>
      </w:hyperlink>
    </w:p>
    <w:p w:rsidR="00B13A51" w:rsidRDefault="00B13A51" w14:paraId="358CC53A" w14:textId="6E26002D">
      <w:pPr>
        <w:pStyle w:val="TOC1"/>
        <w:rPr>
          <w:rFonts w:asciiTheme="minorHAnsi" w:hAnsiTheme="minorHAnsi" w:eastAsiaTheme="minorEastAsia"/>
          <w:noProof/>
          <w:lang w:eastAsia="zh-CN"/>
        </w:rPr>
      </w:pPr>
      <w:hyperlink w:history="1" w:anchor="_Toc160050452">
        <w:r w:rsidRPr="00CC7C2B">
          <w:rPr>
            <w:rStyle w:val="Hyperlink"/>
            <w:rFonts w:eastAsiaTheme="minorHAnsi"/>
            <w:noProof/>
          </w:rPr>
          <w:t>SUB-FUNDS</w:t>
        </w:r>
        <w:r>
          <w:rPr>
            <w:noProof/>
            <w:webHidden/>
          </w:rPr>
          <w:tab/>
        </w:r>
        <w:r>
          <w:rPr>
            <w:noProof/>
            <w:webHidden/>
          </w:rPr>
          <w:fldChar w:fldCharType="begin"/>
        </w:r>
        <w:r>
          <w:rPr>
            <w:noProof/>
            <w:webHidden/>
          </w:rPr>
          <w:instrText xml:space="preserve"> PAGEREF _Toc160050452 \h </w:instrText>
        </w:r>
        <w:r>
          <w:rPr>
            <w:noProof/>
            <w:webHidden/>
          </w:rPr>
        </w:r>
        <w:r>
          <w:rPr>
            <w:noProof/>
            <w:webHidden/>
          </w:rPr>
          <w:fldChar w:fldCharType="separate"/>
        </w:r>
        <w:r w:rsidR="00F010BD">
          <w:rPr>
            <w:noProof/>
            <w:webHidden/>
          </w:rPr>
          <w:t>17</w:t>
        </w:r>
        <w:r>
          <w:rPr>
            <w:noProof/>
            <w:webHidden/>
          </w:rPr>
          <w:fldChar w:fldCharType="end"/>
        </w:r>
      </w:hyperlink>
    </w:p>
    <w:p w:rsidRPr="00132657" w:rsidR="00987029" w:rsidP="007475C0" w:rsidRDefault="00987029" w14:paraId="7DD2B405" w14:textId="747722E0">
      <w:pPr>
        <w:pStyle w:val="ssPara"/>
      </w:pPr>
      <w:r w:rsidRPr="00132657">
        <w:rPr>
          <w:rFonts w:cs="Arial"/>
        </w:rPr>
        <w:fldChar w:fldCharType="end"/>
      </w:r>
    </w:p>
    <w:p w:rsidRPr="00132657" w:rsidR="00987029" w:rsidP="007475C0" w:rsidRDefault="00987029" w14:paraId="175129B7" w14:textId="77777777">
      <w:pPr>
        <w:pStyle w:val="ssPara"/>
      </w:pPr>
    </w:p>
    <w:p w:rsidR="007475C0" w:rsidP="007475C0" w:rsidRDefault="00987029" w14:paraId="4176295D" w14:textId="77777777">
      <w:pPr>
        <w:pStyle w:val="ssPara"/>
      </w:pPr>
      <w:r w:rsidRPr="00132657">
        <w:br w:type="page"/>
      </w:r>
    </w:p>
    <w:p w:rsidRPr="00132657" w:rsidR="00987029" w:rsidP="00987029" w:rsidRDefault="00987029" w14:paraId="1FBA1BBD" w14:textId="5BE37E6E">
      <w:pPr>
        <w:pStyle w:val="Heading1"/>
        <w:numPr>
          <w:ilvl w:val="0"/>
          <w:numId w:val="0"/>
        </w:numPr>
        <w:rPr>
          <w:rFonts w:eastAsia="Arial"/>
          <w:b w:val="0"/>
          <w:color w:val="000000"/>
          <w:szCs w:val="22"/>
          <w:lang w:val="en-US" w:eastAsia="en-US"/>
        </w:rPr>
      </w:pPr>
      <w:bookmarkStart w:name="_Toc160050445" w:id="2"/>
      <w:r w:rsidRPr="00132657">
        <w:rPr>
          <w:szCs w:val="22"/>
        </w:rPr>
        <w:lastRenderedPageBreak/>
        <w:t>GENERAL INFORMATION</w:t>
      </w:r>
      <w:bookmarkEnd w:id="2"/>
    </w:p>
    <w:p w:rsidRPr="00132657" w:rsidR="00987029" w:rsidP="007475C0" w:rsidRDefault="00987029" w14:paraId="41C6D55C" w14:textId="77777777">
      <w:pPr>
        <w:pStyle w:val="ssPara"/>
      </w:pPr>
      <w:r w:rsidRPr="00132657">
        <w:rPr>
          <w:rFonts w:cs="Arial"/>
          <w:u w:val="single"/>
        </w:rPr>
        <w:t>General</w:t>
      </w:r>
    </w:p>
    <w:p w:rsidRPr="00132657" w:rsidR="00987029" w:rsidP="007475C0" w:rsidRDefault="00987029" w14:paraId="453CFA07" w14:textId="77777777">
      <w:pPr>
        <w:pStyle w:val="ssPara"/>
      </w:pPr>
      <w:r w:rsidRPr="00132657">
        <w:t xml:space="preserve">This Supplement sets out information in relation to the Shares and the Sub-Fund. You must also refer to the Prospectus which is separate to this document and describes the Sub-Fund and provides general information about offers of shares in the Fund and each of its sub-funds. You should not take any action in respect of the Shares unless you have received a copy of the Prospectus. Should there be any inconsistency between the contents of the Prospectus and this Supplement, the contents of this Supplement will, to the extent of any such inconsistency, prevail. This Supplement and the Prospectus should both be carefully read in their entirety before any investment decision with respect to Shares is made. </w:t>
      </w:r>
    </w:p>
    <w:p w:rsidRPr="00132657" w:rsidR="00987029" w:rsidP="007475C0" w:rsidRDefault="00987029" w14:paraId="652BEB61" w14:textId="2F8CBE38">
      <w:pPr>
        <w:pStyle w:val="ssPara"/>
        <w:rPr>
          <w:b/>
        </w:rPr>
      </w:pPr>
      <w:r w:rsidRPr="00132657">
        <w:rPr>
          <w:b/>
        </w:rPr>
        <w:t>Investment in the Sub-Fund carries substantial risk. There can be no assurance that the Sub-Fund</w:t>
      </w:r>
      <w:r w:rsidR="002A0300">
        <w:rPr>
          <w:b/>
        </w:rPr>
        <w:t>’</w:t>
      </w:r>
      <w:r w:rsidRPr="00132657">
        <w:rPr>
          <w:b/>
        </w:rPr>
        <w:t xml:space="preserve">s investment objective will be </w:t>
      </w:r>
      <w:proofErr w:type="gramStart"/>
      <w:r w:rsidRPr="00132657">
        <w:rPr>
          <w:b/>
        </w:rPr>
        <w:t>achieved</w:t>
      </w:r>
      <w:proofErr w:type="gramEnd"/>
      <w:r w:rsidRPr="00132657">
        <w:rPr>
          <w:b/>
        </w:rPr>
        <w:t xml:space="preserve"> and investment results may vary substantially over time. Investment in the Sub-Fund is not intended to be a complete investment programme for any investor. Prospective investors should carefully consider whether an investment in Shares is suitable for them </w:t>
      </w:r>
      <w:proofErr w:type="gramStart"/>
      <w:r w:rsidRPr="00132657">
        <w:rPr>
          <w:b/>
        </w:rPr>
        <w:t>in light of</w:t>
      </w:r>
      <w:proofErr w:type="gramEnd"/>
      <w:r w:rsidRPr="00132657">
        <w:rPr>
          <w:b/>
        </w:rPr>
        <w:t xml:space="preserve"> their circumstances and financial resources (see further under </w:t>
      </w:r>
      <w:r w:rsidR="002A0300">
        <w:rPr>
          <w:b/>
        </w:rPr>
        <w:t>“</w:t>
      </w:r>
      <w:r w:rsidRPr="00132657">
        <w:rPr>
          <w:b/>
        </w:rPr>
        <w:t>Risk Factors</w:t>
      </w:r>
      <w:r w:rsidR="002A0300">
        <w:rPr>
          <w:b/>
        </w:rPr>
        <w:t>”</w:t>
      </w:r>
      <w:r w:rsidRPr="00132657">
        <w:rPr>
          <w:b/>
        </w:rPr>
        <w:t>).</w:t>
      </w:r>
    </w:p>
    <w:p w:rsidRPr="00132657" w:rsidR="00987029" w:rsidP="007475C0" w:rsidRDefault="00987029" w14:paraId="35D78921" w14:textId="77777777">
      <w:pPr>
        <w:pStyle w:val="ssPara"/>
        <w:rPr>
          <w:b/>
        </w:rPr>
      </w:pPr>
      <w:r w:rsidRPr="00132657">
        <w:rPr>
          <w:b/>
        </w:rPr>
        <w:t xml:space="preserve">If you are in any doubt about the contents of the Prospectus (including this Supplement) you should consult your stockbroker or financial adviser. </w:t>
      </w:r>
    </w:p>
    <w:p w:rsidRPr="00132657" w:rsidR="00987029" w:rsidP="007475C0" w:rsidRDefault="00987029" w14:paraId="2F2E08D5" w14:textId="77777777">
      <w:pPr>
        <w:pStyle w:val="ssPara"/>
        <w:rPr>
          <w:b/>
          <w:bCs/>
        </w:rPr>
      </w:pPr>
      <w:r w:rsidRPr="00132657">
        <w:rPr>
          <w:b/>
          <w:bCs/>
        </w:rPr>
        <w:t>The Sub-Fund may invest extensively in derivatives for hedging purposes (as further detailed in the Prospectus). As a result, as well as holding assets that may rise or fall with market values, the Sub-Fund may also hold positions that may rise as the market value falls and fall as the market value rises. Transactions in derivatives may leverage the Sub-Fund due to the leverage inherent in such instruments. This may result in a higher level of volatility than would be the case if the Sub-Fund did not invest in derivatives.</w:t>
      </w:r>
    </w:p>
    <w:p w:rsidRPr="007475C0" w:rsidR="00987029" w:rsidP="007475C0" w:rsidRDefault="00987029" w14:paraId="1AE2FA37" w14:textId="77777777">
      <w:pPr>
        <w:pStyle w:val="ssPara"/>
        <w:rPr>
          <w:u w:val="single"/>
        </w:rPr>
      </w:pPr>
      <w:r w:rsidRPr="007475C0">
        <w:rPr>
          <w:u w:val="single"/>
        </w:rPr>
        <w:t>Suitability of Investment</w:t>
      </w:r>
    </w:p>
    <w:p w:rsidRPr="007475C0" w:rsidR="00987029" w:rsidP="007475C0" w:rsidRDefault="00987029" w14:paraId="4184B9F8" w14:textId="77777777">
      <w:pPr>
        <w:pStyle w:val="ssPara"/>
        <w:rPr>
          <w:b/>
          <w:bCs/>
        </w:rPr>
      </w:pPr>
      <w:r w:rsidRPr="007475C0">
        <w:rPr>
          <w:b/>
          <w:bCs/>
        </w:rPr>
        <w:t>An investment in the Sub-Fund should not constitute a substantial proportion of an investment portfolio and may not be appropriate for all investors.</w:t>
      </w:r>
    </w:p>
    <w:p w:rsidRPr="00132657" w:rsidR="00987029" w:rsidP="007475C0" w:rsidRDefault="00987029" w14:paraId="1BDF442D" w14:textId="77777777">
      <w:pPr>
        <w:pStyle w:val="ssPara"/>
      </w:pPr>
      <w:r w:rsidRPr="00132657">
        <w:t xml:space="preserve">Investors should note that there is a difference between the nature of a deposit and the nature of an investment in the Sub-Fund. The return on the Shares may be less than that </w:t>
      </w:r>
      <w:r>
        <w:t>on</w:t>
      </w:r>
      <w:r w:rsidRPr="00132657">
        <w:t xml:space="preserve"> other securities of comparable maturity or less than interest rates available in the market and the principal invested in the Sub-Fund is capable of fluctuation. The Shares are not principal protected. The value of the Shares may go up or down and you may not get back the amount you have invested. </w:t>
      </w:r>
    </w:p>
    <w:p w:rsidR="00987029" w:rsidP="007475C0" w:rsidRDefault="00987029" w14:paraId="5F472718" w14:textId="1CB995ED">
      <w:pPr>
        <w:pStyle w:val="ssPara"/>
      </w:pPr>
      <w:r>
        <w:t xml:space="preserve">The </w:t>
      </w:r>
      <w:r w:rsidRPr="002E2EF0">
        <w:t>Shares in the ETF Classes of the Sub-Fund issued and available for issue are admitted</w:t>
      </w:r>
      <w:r>
        <w:t xml:space="preserve"> </w:t>
      </w:r>
      <w:r w:rsidRPr="002E2EF0">
        <w:t xml:space="preserve">to listing on the </w:t>
      </w:r>
      <w:r>
        <w:t>o</w:t>
      </w:r>
      <w:r w:rsidRPr="002E2EF0">
        <w:t xml:space="preserve">fficial </w:t>
      </w:r>
      <w:r>
        <w:t>l</w:t>
      </w:r>
      <w:r w:rsidRPr="002E2EF0">
        <w:t xml:space="preserve">ist and </w:t>
      </w:r>
      <w:r w:rsidR="009E141E">
        <w:t xml:space="preserve">may be </w:t>
      </w:r>
      <w:r w:rsidRPr="002E2EF0">
        <w:t xml:space="preserve">traded on </w:t>
      </w:r>
      <w:r w:rsidR="009E141E">
        <w:t>other stock exchanges including, but not limited to,</w:t>
      </w:r>
      <w:r w:rsidRPr="002E2EF0">
        <w:t xml:space="preserve"> Euronext Dublin. This Supplement together</w:t>
      </w:r>
      <w:r>
        <w:t xml:space="preserve"> </w:t>
      </w:r>
      <w:r w:rsidRPr="002E2EF0">
        <w:t>with the Prospectus includes all information required to be disclosed by Euronext Dublin</w:t>
      </w:r>
      <w:r>
        <w:t xml:space="preserve"> </w:t>
      </w:r>
      <w:r w:rsidRPr="002E2EF0">
        <w:t>listing requirements and comprise listing particulars for the purpose of listing of such Shares in the ETF Classes</w:t>
      </w:r>
      <w:r>
        <w:t xml:space="preserve"> </w:t>
      </w:r>
      <w:r w:rsidRPr="002E2EF0">
        <w:t>on Euronext Dublin</w:t>
      </w:r>
      <w:r>
        <w:t>. The Shares in the ETF Classes of the Sub-Fund may also be listed on any Listing Stock Exchange.</w:t>
      </w:r>
    </w:p>
    <w:p w:rsidRPr="00132657" w:rsidR="00987029" w:rsidP="007475C0" w:rsidRDefault="00987029" w14:paraId="47B3BF20" w14:textId="77777777">
      <w:pPr>
        <w:pStyle w:val="ssPara"/>
      </w:pPr>
      <w:r w:rsidRPr="00132657">
        <w:t xml:space="preserve">An investment in the Shares is only suitable for you if you (either alone or with the help of an appropriate financial or other advisor) </w:t>
      </w:r>
      <w:proofErr w:type="gramStart"/>
      <w:r w:rsidRPr="00132657">
        <w:t>are able to</w:t>
      </w:r>
      <w:proofErr w:type="gramEnd"/>
      <w:r w:rsidRPr="00132657">
        <w:t xml:space="preserve"> assess the merits and risks of such an investment and have sufficient resources to be able to bear any losses that may result from such an investment. The contents of this document are not intended to contain and should not be regarded as containing advice relating to legal, taxation, investment or any other</w:t>
      </w:r>
      <w:r w:rsidRPr="00132657">
        <w:rPr>
          <w:spacing w:val="-10"/>
        </w:rPr>
        <w:t xml:space="preserve"> </w:t>
      </w:r>
      <w:r w:rsidRPr="00132657">
        <w:t>matters.</w:t>
      </w:r>
    </w:p>
    <w:p w:rsidRPr="007475C0" w:rsidR="00987029" w:rsidP="007475C0" w:rsidRDefault="00987029" w14:paraId="55B80EAF" w14:textId="77777777">
      <w:pPr>
        <w:pStyle w:val="ssPara"/>
        <w:rPr>
          <w:u w:val="single"/>
        </w:rPr>
      </w:pPr>
      <w:r w:rsidRPr="007475C0">
        <w:rPr>
          <w:u w:val="single"/>
        </w:rPr>
        <w:t>Responsibility</w:t>
      </w:r>
    </w:p>
    <w:p w:rsidRPr="00132657" w:rsidR="00987029" w:rsidP="007475C0" w:rsidRDefault="00987029" w14:paraId="1118242C" w14:textId="5812F1BD">
      <w:pPr>
        <w:pStyle w:val="ssPara"/>
      </w:pPr>
      <w:r w:rsidRPr="00132657">
        <w:lastRenderedPageBreak/>
        <w:t xml:space="preserve">The Directors (whose names appear under the heading </w:t>
      </w:r>
      <w:r w:rsidR="002A0300">
        <w:t>“</w:t>
      </w:r>
      <w:r w:rsidRPr="00132657">
        <w:t>Directors</w:t>
      </w:r>
      <w:r w:rsidR="002A0300">
        <w:t>”</w:t>
      </w:r>
      <w:r w:rsidRPr="00132657">
        <w:t xml:space="preserve"> in the Prospectus) accept responsibility for the information contained in the Prospectus and this Supplement. To the best of the knowledge and belief of the Directors (who have taken all reasonable care to ensure that such is the case) the information contained in this Supplement when read together with the Prospectus (as complemented, modified or supplemented by this Supplement) is in accordance with the facts as at the date of this Supplement and does not omit anything likely to affect the import of such</w:t>
      </w:r>
      <w:r w:rsidRPr="00132657">
        <w:rPr>
          <w:spacing w:val="-3"/>
        </w:rPr>
        <w:t xml:space="preserve"> </w:t>
      </w:r>
      <w:r w:rsidRPr="00132657">
        <w:t>information.</w:t>
      </w:r>
      <w:bookmarkStart w:name="General" w:id="3"/>
      <w:bookmarkEnd w:id="3"/>
    </w:p>
    <w:p w:rsidRPr="007475C0" w:rsidR="00987029" w:rsidP="007475C0" w:rsidRDefault="00987029" w14:paraId="69355EC0" w14:textId="77777777">
      <w:pPr>
        <w:pStyle w:val="ssPara"/>
        <w:rPr>
          <w:u w:val="single"/>
        </w:rPr>
      </w:pPr>
      <w:r w:rsidRPr="007475C0">
        <w:rPr>
          <w:u w:val="single"/>
        </w:rPr>
        <w:t>Restrictions on Distribution</w:t>
      </w:r>
    </w:p>
    <w:p w:rsidRPr="00132657" w:rsidR="00987029" w:rsidP="007475C0" w:rsidRDefault="00987029" w14:paraId="3F80EC7A" w14:textId="77777777">
      <w:pPr>
        <w:pStyle w:val="ssPara"/>
      </w:pPr>
      <w:r w:rsidRPr="00132657">
        <w:t>The distribution of the Prospectus (including this Supplement) and the offering of Shares may be restricted in certain jurisdictions. The information contained therein is for general guidance only, and it is the responsibility of any person or persons in possession of the Prospectus (and/or this Supplement) and wishing to make an application for Shares to inform themselves of and observe all applicable laws and regulations of any relevant jurisdiction. Such persons should also inform themselves of any applicable legal requirements, exchange control regulations and taxes in the countries of their respective citizenship, residence or domicile.</w:t>
      </w:r>
    </w:p>
    <w:p w:rsidRPr="00132657" w:rsidR="00987029" w:rsidP="007475C0" w:rsidRDefault="00987029" w14:paraId="4FFCE068" w14:textId="77777777">
      <w:pPr>
        <w:pStyle w:val="ssPara"/>
      </w:pPr>
      <w:r w:rsidRPr="00132657">
        <w:t xml:space="preserve">The Prospectus (including this Supplement) does not constitute an offer or solicitation to any person in any jurisdiction in which such an offer or solicitation is not authorised or to any person to whom it would be unlawful to make such an offer or solicitation. </w:t>
      </w:r>
    </w:p>
    <w:p w:rsidRPr="00132657" w:rsidR="00987029" w:rsidP="007475C0" w:rsidRDefault="00987029" w14:paraId="3339D8B0" w14:textId="77777777">
      <w:pPr>
        <w:pStyle w:val="ssPara"/>
      </w:pPr>
      <w:r w:rsidRPr="00132657">
        <w:t>The Prospectus (including this Supplement) has been prepared solely for the information of the person to whom it has been delivered and should not be reproduced or used for any other purpose.</w:t>
      </w:r>
    </w:p>
    <w:p w:rsidRPr="00132657" w:rsidR="00987029" w:rsidP="007475C0" w:rsidRDefault="00987029" w14:paraId="4D3AA8C9" w14:textId="77777777">
      <w:pPr>
        <w:pStyle w:val="ssPara"/>
      </w:pPr>
      <w:r w:rsidRPr="00132657">
        <w:t>Distribution of this Supplement is not authorised unless the recipient has also received the latest copy of the Prospectus.</w:t>
      </w:r>
    </w:p>
    <w:p w:rsidRPr="007475C0" w:rsidR="00987029" w:rsidP="007475C0" w:rsidRDefault="00987029" w14:paraId="5E6A007B" w14:textId="77777777">
      <w:pPr>
        <w:pStyle w:val="ssPara"/>
        <w:rPr>
          <w:b/>
          <w:bCs/>
          <w:u w:val="single"/>
        </w:rPr>
      </w:pPr>
      <w:bookmarkStart w:name="_Hlk51702441" w:id="4"/>
      <w:r w:rsidRPr="007475C0">
        <w:rPr>
          <w:u w:val="single"/>
        </w:rPr>
        <w:t>Profile of the Typical Investor</w:t>
      </w:r>
    </w:p>
    <w:p w:rsidRPr="00132657" w:rsidR="00987029" w:rsidP="007475C0" w:rsidRDefault="00987029" w14:paraId="23A16A3E" w14:textId="77777777">
      <w:pPr>
        <w:pStyle w:val="ssPara"/>
        <w:rPr>
          <w:b/>
          <w:bCs/>
        </w:rPr>
      </w:pPr>
      <w:r w:rsidRPr="007475C0">
        <w:t>A typical investor has a long-term investment horizon and is prepared to accept a high degree of risk and volatility.</w:t>
      </w:r>
      <w:r w:rsidRPr="00132657">
        <w:t xml:space="preserve"> This is not a guide to the future volatility of the Sub-Fund </w:t>
      </w:r>
      <w:r>
        <w:t>which</w:t>
      </w:r>
      <w:r w:rsidRPr="00132657">
        <w:t xml:space="preserve"> may </w:t>
      </w:r>
      <w:r>
        <w:t>change</w:t>
      </w:r>
      <w:r w:rsidRPr="00132657">
        <w:t xml:space="preserve"> over time. Investors may also refer to the KIID for the most up-to-date SRRI measurement of volatility.</w:t>
      </w:r>
    </w:p>
    <w:p w:rsidRPr="007475C0" w:rsidR="00987029" w:rsidP="007475C0" w:rsidRDefault="00987029" w14:paraId="02759429" w14:textId="77777777">
      <w:pPr>
        <w:pStyle w:val="ssPara"/>
        <w:rPr>
          <w:b/>
          <w:bCs/>
          <w:u w:val="single"/>
        </w:rPr>
      </w:pPr>
      <w:r w:rsidRPr="007475C0">
        <w:rPr>
          <w:u w:val="single"/>
        </w:rPr>
        <w:t>Subscription Price and Redemption Price</w:t>
      </w:r>
    </w:p>
    <w:p w:rsidRPr="00132657" w:rsidR="00987029" w:rsidP="007475C0" w:rsidRDefault="00987029" w14:paraId="73C18EE1" w14:textId="6AF35310">
      <w:pPr>
        <w:pStyle w:val="ssPara"/>
        <w:rPr>
          <w:b/>
          <w:bCs/>
        </w:rPr>
      </w:pPr>
      <w:r w:rsidRPr="00132657">
        <w:t>The Subscription Price and Redemption Price at which a Share is subscribed for or redeemed on a Dealing Day</w:t>
      </w:r>
      <w:r w:rsidR="008E7019">
        <w:t xml:space="preserve"> </w:t>
      </w:r>
      <w:r w:rsidRPr="00132657">
        <w:t xml:space="preserve">is the Net Asset Value per Share on the relevant Dealing Day, as adjusted in accordance with any applicable fees as described under the </w:t>
      </w:r>
      <w:r w:rsidR="002A0300">
        <w:t>“</w:t>
      </w:r>
      <w:r w:rsidRPr="00132657">
        <w:t>Fees and Expenses</w:t>
      </w:r>
      <w:r w:rsidR="002A0300">
        <w:t>”</w:t>
      </w:r>
      <w:r w:rsidRPr="00132657">
        <w:t xml:space="preserve"> section and in accordance with the provisions of this section. </w:t>
      </w:r>
      <w:bookmarkStart w:name="_DV_M87" w:id="5"/>
      <w:bookmarkEnd w:id="5"/>
    </w:p>
    <w:p w:rsidRPr="00132657" w:rsidR="00987029" w:rsidP="007475C0" w:rsidRDefault="00987029" w14:paraId="63935176" w14:textId="7DDE07A1">
      <w:pPr>
        <w:pStyle w:val="ssPara"/>
        <w:rPr>
          <w:b/>
          <w:bCs/>
        </w:rPr>
      </w:pPr>
      <w:r w:rsidRPr="00132657">
        <w:t>The Net Asset Value per Share differs on each Dealing Day: (a) as the value of the Sub-Fund</w:t>
      </w:r>
      <w:r w:rsidR="002A0300">
        <w:t>’</w:t>
      </w:r>
      <w:r w:rsidRPr="00132657">
        <w:t xml:space="preserve">s assets increases or decreases over time; (b) as the fees and expenses in relation to the Sub-Fund accrue over time; and (c) due to dealing charges, taxes and other similar costs and spreads from </w:t>
      </w:r>
      <w:r>
        <w:t xml:space="preserve">the </w:t>
      </w:r>
      <w:r w:rsidRPr="00132657">
        <w:t>buying and selling prices of the Sub-Fund</w:t>
      </w:r>
      <w:r w:rsidR="002A0300">
        <w:t>’</w:t>
      </w:r>
      <w:r w:rsidRPr="00132657">
        <w:t xml:space="preserve">s assets. </w:t>
      </w:r>
      <w:bookmarkStart w:name="_DV_M89" w:id="6"/>
      <w:bookmarkEnd w:id="6"/>
    </w:p>
    <w:p w:rsidRPr="00132657" w:rsidR="00987029" w:rsidP="007475C0" w:rsidRDefault="00987029" w14:paraId="25A91939" w14:textId="6EC10764">
      <w:pPr>
        <w:pStyle w:val="ssPara"/>
        <w:rPr>
          <w:b/>
          <w:bCs/>
        </w:rPr>
      </w:pPr>
      <w:r w:rsidRPr="00132657">
        <w:t xml:space="preserve">In the case of net subscriptions and/or net redemptions, the Net Asset Value per Class for subscription or redemption may be adjusted by adding or deducting a Dilution Adjustment (as determined by the Directors) in accordance with the relevant provisions in the Prospectus. The Dilution Adjustment will be calculated by reference to the costs of dealing in the underlying investments of the Sub-Fund, including any dealing spreads, commissions and transfer taxes. These costs can vary over </w:t>
      </w:r>
      <w:proofErr w:type="gramStart"/>
      <w:r w:rsidRPr="00132657">
        <w:t>time</w:t>
      </w:r>
      <w:proofErr w:type="gramEnd"/>
      <w:r w:rsidRPr="00132657">
        <w:t xml:space="preserve"> and, as a result, the amount of Dilution Adjustment will also vary over time. The price of each Class will be calculated separately but any Dilution Adjustment will affect the price of Shares of each Class in an identical manner. Where there is no dealing in the Sub-Fund or Class on the relevant Dealing Day, the Subscription Price or the Redemption Price will be the unadjusted Net Asset Value per Share rounded to such number of decimal places as the Directors deem appropriate. </w:t>
      </w:r>
      <w:bookmarkStart w:name="_DV_M90" w:id="7"/>
      <w:bookmarkEnd w:id="7"/>
    </w:p>
    <w:p w:rsidRPr="007475C0" w:rsidR="00987029" w:rsidP="007475C0" w:rsidRDefault="00987029" w14:paraId="63397520" w14:textId="627132E1">
      <w:pPr>
        <w:pStyle w:val="ssPara"/>
        <w:rPr>
          <w:b/>
          <w:bCs/>
        </w:rPr>
      </w:pPr>
      <w:r w:rsidRPr="007475C0">
        <w:rPr>
          <w:b/>
          <w:bCs/>
        </w:rPr>
        <w:lastRenderedPageBreak/>
        <w:t>Accordingly, you should note that the Net Asset Value per Share at any time may be less than the original value of your investment and you should be prepared to sustain a loss on your investment</w:t>
      </w:r>
      <w:r w:rsidR="009E141E">
        <w:rPr>
          <w:b/>
          <w:bCs/>
        </w:rPr>
        <w:t xml:space="preserve"> up to the full amount invested</w:t>
      </w:r>
      <w:r w:rsidRPr="007475C0">
        <w:rPr>
          <w:b/>
          <w:bCs/>
        </w:rPr>
        <w:t xml:space="preserve">. </w:t>
      </w:r>
    </w:p>
    <w:p w:rsidRPr="007475C0" w:rsidR="00987029" w:rsidP="007475C0" w:rsidRDefault="00987029" w14:paraId="2E4F292A" w14:textId="77777777">
      <w:pPr>
        <w:pStyle w:val="ssPara"/>
        <w:rPr>
          <w:u w:val="single"/>
        </w:rPr>
      </w:pPr>
      <w:r w:rsidRPr="007475C0">
        <w:rPr>
          <w:u w:val="single"/>
        </w:rPr>
        <w:t>Investment Manager</w:t>
      </w:r>
    </w:p>
    <w:p w:rsidR="00987029" w:rsidP="007475C0" w:rsidRDefault="00987029" w14:paraId="2DEAF03F" w14:textId="15AC8CBC">
      <w:pPr>
        <w:pStyle w:val="ssPara"/>
      </w:pPr>
      <w:r>
        <w:t>The Manager has</w:t>
      </w:r>
      <w:r w:rsidRPr="002E2EF0">
        <w:t xml:space="preserve"> appointed </w:t>
      </w:r>
      <w:proofErr w:type="spellStart"/>
      <w:r>
        <w:t>Eurizon</w:t>
      </w:r>
      <w:proofErr w:type="spellEnd"/>
      <w:r>
        <w:t xml:space="preserve"> SLJ Capital Limited</w:t>
      </w:r>
      <w:r w:rsidRPr="002E2EF0">
        <w:t xml:space="preserve"> (the </w:t>
      </w:r>
      <w:r w:rsidR="002A0300">
        <w:t>“</w:t>
      </w:r>
      <w:r w:rsidRPr="002E2EF0">
        <w:rPr>
          <w:u w:val="single"/>
        </w:rPr>
        <w:t>Investment Manager</w:t>
      </w:r>
      <w:r w:rsidR="002A0300">
        <w:t>”</w:t>
      </w:r>
      <w:r w:rsidRPr="002E2EF0">
        <w:t xml:space="preserve">) as investment manager </w:t>
      </w:r>
      <w:r w:rsidR="00EB784C">
        <w:t xml:space="preserve">and distributor </w:t>
      </w:r>
      <w:r w:rsidRPr="002E2EF0">
        <w:t xml:space="preserve">of the </w:t>
      </w:r>
      <w:r>
        <w:t>Sub-Fund</w:t>
      </w:r>
      <w:r w:rsidRPr="002E2EF0">
        <w:t xml:space="preserve"> pursuant to </w:t>
      </w:r>
      <w:r>
        <w:t>an</w:t>
      </w:r>
      <w:r w:rsidRPr="002E2EF0">
        <w:t xml:space="preserve"> investment management </w:t>
      </w:r>
      <w:r w:rsidR="00322679">
        <w:t xml:space="preserve">and distribution </w:t>
      </w:r>
      <w:r w:rsidRPr="002E2EF0">
        <w:t xml:space="preserve">agreement between the Fund, Manager and the Investment Manager dated </w:t>
      </w:r>
      <w:r w:rsidR="001F2DCE">
        <w:t>1</w:t>
      </w:r>
      <w:r w:rsidR="008D228D">
        <w:t xml:space="preserve"> </w:t>
      </w:r>
      <w:r w:rsidR="001F2DCE">
        <w:t>May</w:t>
      </w:r>
      <w:r w:rsidR="008D228D">
        <w:t xml:space="preserve"> 2024</w:t>
      </w:r>
      <w:r w:rsidRPr="002E2EF0">
        <w:t xml:space="preserve">, as may be amended from time to time (the </w:t>
      </w:r>
      <w:r w:rsidR="002A0300">
        <w:t>“</w:t>
      </w:r>
      <w:r w:rsidRPr="002E2EF0">
        <w:rPr>
          <w:u w:val="single"/>
        </w:rPr>
        <w:t xml:space="preserve">Investment Management </w:t>
      </w:r>
      <w:r w:rsidR="00322679">
        <w:rPr>
          <w:u w:val="single"/>
        </w:rPr>
        <w:t xml:space="preserve">and Distribution </w:t>
      </w:r>
      <w:r w:rsidRPr="002E2EF0">
        <w:rPr>
          <w:u w:val="single"/>
        </w:rPr>
        <w:t>Agreement</w:t>
      </w:r>
      <w:r w:rsidR="002A0300">
        <w:t>”</w:t>
      </w:r>
      <w:r w:rsidRPr="002E2EF0">
        <w:t xml:space="preserve">). The Investment Manager will be responsible for the provision of discretionary investment management services in respect of the Sub-Fund. The Investment Manager, having its registered office at </w:t>
      </w:r>
      <w:r>
        <w:t>90 Queen St, London EC4N 1SA, United Kingdom</w:t>
      </w:r>
      <w:r w:rsidRPr="002E2EF0">
        <w:t xml:space="preserve">, </w:t>
      </w:r>
      <w:r>
        <w:t xml:space="preserve">has been authorised and regulated by the FCA since 4 July 2016. </w:t>
      </w:r>
      <w:r w:rsidRPr="00D93F1B">
        <w:t xml:space="preserve">Originally founded by Stephen Jen and Fatih Yilmaz in 2011 as SLJ Macro Partners, </w:t>
      </w:r>
      <w:proofErr w:type="spellStart"/>
      <w:r w:rsidRPr="00D93F1B">
        <w:t>Eurizon</w:t>
      </w:r>
      <w:proofErr w:type="spellEnd"/>
      <w:r w:rsidRPr="00D93F1B">
        <w:t xml:space="preserve"> SLJ Capital was formed in 2016 when the firm joined forces with </w:t>
      </w:r>
      <w:proofErr w:type="spellStart"/>
      <w:r w:rsidRPr="00D93F1B">
        <w:t>Eurizon</w:t>
      </w:r>
      <w:proofErr w:type="spellEnd"/>
      <w:r w:rsidRPr="00D93F1B">
        <w:t xml:space="preserve"> Capital SGR (</w:t>
      </w:r>
      <w:proofErr w:type="spellStart"/>
      <w:r w:rsidRPr="00D93F1B">
        <w:t>Eurizon</w:t>
      </w:r>
      <w:proofErr w:type="spellEnd"/>
      <w:r w:rsidRPr="00D93F1B">
        <w:t xml:space="preserve">). </w:t>
      </w:r>
      <w:proofErr w:type="spellStart"/>
      <w:r w:rsidRPr="00D93F1B">
        <w:t>Eurizon</w:t>
      </w:r>
      <w:proofErr w:type="spellEnd"/>
      <w:r w:rsidRPr="00D93F1B">
        <w:t xml:space="preserve"> is the asset management division of Intesa Sanpaolo Group</w:t>
      </w:r>
      <w:r>
        <w:t>, a banking group headquartered in Italy.</w:t>
      </w:r>
    </w:p>
    <w:p w:rsidRPr="00C87986" w:rsidR="00987029" w:rsidP="007475C0" w:rsidRDefault="00987029" w14:paraId="290F7F5F" w14:textId="2AFE8141">
      <w:pPr>
        <w:pStyle w:val="ssPara"/>
      </w:pPr>
      <w:r w:rsidRPr="00C87986">
        <w:t xml:space="preserve">Under the </w:t>
      </w:r>
      <w:r>
        <w:t>I</w:t>
      </w:r>
      <w:r w:rsidRPr="00C87986">
        <w:t xml:space="preserve">nvestment </w:t>
      </w:r>
      <w:r>
        <w:t>M</w:t>
      </w:r>
      <w:r w:rsidRPr="00C87986">
        <w:t>anagement</w:t>
      </w:r>
      <w:r w:rsidR="00322679">
        <w:t xml:space="preserve"> and Distribution</w:t>
      </w:r>
      <w:r w:rsidRPr="00C87986">
        <w:t xml:space="preserve"> </w:t>
      </w:r>
      <w:r>
        <w:t>A</w:t>
      </w:r>
      <w:r w:rsidRPr="00C87986">
        <w:t xml:space="preserve">greement, the Investment Manager will provide discretionary investment management services to the </w:t>
      </w:r>
      <w:r>
        <w:t>Fund</w:t>
      </w:r>
      <w:r w:rsidRPr="00C87986">
        <w:t xml:space="preserve"> in respect of the </w:t>
      </w:r>
      <w:r>
        <w:t>Sub-</w:t>
      </w:r>
      <w:r w:rsidRPr="00C87986">
        <w:t>Fund.</w:t>
      </w:r>
      <w:r w:rsidR="00322679">
        <w:t xml:space="preserve"> </w:t>
      </w:r>
    </w:p>
    <w:p w:rsidRPr="00C87986" w:rsidR="00987029" w:rsidP="007475C0" w:rsidRDefault="00987029" w14:paraId="52963B39" w14:textId="3A1C6AAC">
      <w:pPr>
        <w:pStyle w:val="ssPara"/>
      </w:pPr>
      <w:r w:rsidRPr="00C87986">
        <w:t xml:space="preserve">The </w:t>
      </w:r>
      <w:r w:rsidR="00322679">
        <w:t>I</w:t>
      </w:r>
      <w:r w:rsidRPr="00C87986" w:rsidR="00322679">
        <w:t xml:space="preserve">nvestment </w:t>
      </w:r>
      <w:r w:rsidR="00322679">
        <w:t>M</w:t>
      </w:r>
      <w:r w:rsidRPr="00C87986" w:rsidR="00322679">
        <w:t>anagement</w:t>
      </w:r>
      <w:r w:rsidR="00322679">
        <w:t xml:space="preserve"> and Distribution</w:t>
      </w:r>
      <w:r w:rsidRPr="00C87986" w:rsidR="00322679">
        <w:t xml:space="preserve"> </w:t>
      </w:r>
      <w:r w:rsidR="00322679">
        <w:t>A</w:t>
      </w:r>
      <w:r w:rsidRPr="00C87986" w:rsidR="00322679">
        <w:t xml:space="preserve">greement </w:t>
      </w:r>
      <w:r w:rsidRPr="00C87986">
        <w:t xml:space="preserve">provides that neither the Investment Manager nor any of its partners, officers, employees or agents shall be liable to the Manager, the Fund, or any Shareholder or otherwise for any loss or damage arising directly or indirectly out of or in connection with the performance by the Investment Manager of its obligations and duties under the </w:t>
      </w:r>
      <w:r w:rsidR="00322679">
        <w:t>I</w:t>
      </w:r>
      <w:r w:rsidRPr="00C87986" w:rsidR="00322679">
        <w:t xml:space="preserve">nvestment </w:t>
      </w:r>
      <w:r w:rsidR="00322679">
        <w:t>M</w:t>
      </w:r>
      <w:r w:rsidRPr="00C87986" w:rsidR="00322679">
        <w:t>anagement</w:t>
      </w:r>
      <w:r w:rsidR="00322679">
        <w:t xml:space="preserve"> and Distribution</w:t>
      </w:r>
      <w:r w:rsidRPr="00C87986" w:rsidR="00322679">
        <w:t xml:space="preserve"> </w:t>
      </w:r>
      <w:r w:rsidR="00322679">
        <w:t>A</w:t>
      </w:r>
      <w:r w:rsidRPr="00C87986" w:rsidR="00322679">
        <w:t>greement</w:t>
      </w:r>
      <w:r w:rsidRPr="00C87986">
        <w:t xml:space="preserve">, unless such loss or damage arose out of or in connection with the negligence, fraud, bad faith or wilful default of or by the Investment Manager or any delegate in the performance of its obligations under the </w:t>
      </w:r>
      <w:r w:rsidR="00322679">
        <w:t>I</w:t>
      </w:r>
      <w:r w:rsidRPr="00C87986" w:rsidR="00322679">
        <w:t xml:space="preserve">nvestment </w:t>
      </w:r>
      <w:r w:rsidR="00322679">
        <w:t>M</w:t>
      </w:r>
      <w:r w:rsidRPr="00C87986" w:rsidR="00322679">
        <w:t>anagement</w:t>
      </w:r>
      <w:r w:rsidR="00322679">
        <w:t xml:space="preserve"> and Distribution</w:t>
      </w:r>
      <w:r w:rsidRPr="00C87986" w:rsidR="00322679">
        <w:t xml:space="preserve"> </w:t>
      </w:r>
      <w:r w:rsidR="00322679">
        <w:t>A</w:t>
      </w:r>
      <w:r w:rsidRPr="00C87986" w:rsidR="00322679">
        <w:t>greement</w:t>
      </w:r>
      <w:r w:rsidRPr="00C87986">
        <w:t>.</w:t>
      </w:r>
    </w:p>
    <w:p w:rsidRPr="00C87986" w:rsidR="00987029" w:rsidP="007475C0" w:rsidRDefault="00987029" w14:paraId="686AE022" w14:textId="65D42BEA">
      <w:pPr>
        <w:pStyle w:val="ssPara"/>
      </w:pPr>
      <w:r w:rsidRPr="00C87986">
        <w:t xml:space="preserve">The </w:t>
      </w:r>
      <w:r>
        <w:t>Fund</w:t>
      </w:r>
      <w:r w:rsidRPr="00C87986">
        <w:t xml:space="preserve"> is obliged to indemnify, defend and hold harmless the Investment Manager and each of its partners, officers, employees or agents, out of the assets of the </w:t>
      </w:r>
      <w:r>
        <w:t>Sub-</w:t>
      </w:r>
      <w:r w:rsidRPr="00C87986">
        <w:t xml:space="preserve">Fund from and against all actions, proceedings, claims and against all loss, costs, demands and expenses (including reasonable legal expenses arising) which may be brought against, suffered or incurred by the Investment Manager, by reason of the performance by the Investment Manager of its obligations under the terms of the </w:t>
      </w:r>
      <w:r w:rsidR="00322679">
        <w:t>I</w:t>
      </w:r>
      <w:r w:rsidRPr="00C87986" w:rsidR="00322679">
        <w:t xml:space="preserve">nvestment </w:t>
      </w:r>
      <w:r w:rsidR="00322679">
        <w:t>M</w:t>
      </w:r>
      <w:r w:rsidRPr="00C87986" w:rsidR="00322679">
        <w:t>anagement</w:t>
      </w:r>
      <w:r w:rsidR="00322679">
        <w:t xml:space="preserve"> and Distribution</w:t>
      </w:r>
      <w:r w:rsidRPr="00C87986" w:rsidR="00322679">
        <w:t xml:space="preserve"> </w:t>
      </w:r>
      <w:r w:rsidR="00322679">
        <w:t>A</w:t>
      </w:r>
      <w:r w:rsidRPr="00C87986" w:rsidR="00322679">
        <w:t>greement</w:t>
      </w:r>
      <w:r w:rsidRPr="00C87986">
        <w:t xml:space="preserve"> other than by reference to any negligence, fraud, bad faith or wilful default in the performance or non-performance by the Investment Manager </w:t>
      </w:r>
      <w:r>
        <w:t>o</w:t>
      </w:r>
      <w:r w:rsidRPr="00C87986">
        <w:t>r persons designated</w:t>
      </w:r>
      <w:r>
        <w:t xml:space="preserve"> by it thereunder</w:t>
      </w:r>
      <w:r w:rsidRPr="00C87986">
        <w:t xml:space="preserve"> or as result of a breach of any of its obligations thereunder. </w:t>
      </w:r>
    </w:p>
    <w:p w:rsidRPr="00C87986" w:rsidR="00987029" w:rsidP="007475C0" w:rsidRDefault="00987029" w14:paraId="67255DCD" w14:textId="1B0E304A">
      <w:pPr>
        <w:pStyle w:val="ssPara"/>
      </w:pPr>
      <w:r w:rsidRPr="00C87986">
        <w:t xml:space="preserve">Any party to the </w:t>
      </w:r>
      <w:r w:rsidR="00322679">
        <w:t>I</w:t>
      </w:r>
      <w:r w:rsidRPr="00C87986" w:rsidR="00322679">
        <w:t xml:space="preserve">nvestment </w:t>
      </w:r>
      <w:r w:rsidR="00322679">
        <w:t>M</w:t>
      </w:r>
      <w:r w:rsidRPr="00C87986" w:rsidR="00322679">
        <w:t>anagement</w:t>
      </w:r>
      <w:r w:rsidR="00322679">
        <w:t xml:space="preserve"> and Distribution</w:t>
      </w:r>
      <w:r w:rsidRPr="00C87986" w:rsidR="00322679">
        <w:t xml:space="preserve"> </w:t>
      </w:r>
      <w:r w:rsidR="00322679">
        <w:t>A</w:t>
      </w:r>
      <w:r w:rsidRPr="00C87986" w:rsidR="00322679">
        <w:t xml:space="preserve">greement </w:t>
      </w:r>
      <w:r w:rsidRPr="00C87986">
        <w:t xml:space="preserve">may terminate the </w:t>
      </w:r>
      <w:r w:rsidR="00322679">
        <w:t>I</w:t>
      </w:r>
      <w:r w:rsidRPr="00C87986" w:rsidR="00322679">
        <w:t xml:space="preserve">nvestment </w:t>
      </w:r>
      <w:r w:rsidR="00322679">
        <w:t>M</w:t>
      </w:r>
      <w:r w:rsidRPr="00C87986" w:rsidR="00322679">
        <w:t>anagement</w:t>
      </w:r>
      <w:r w:rsidR="00322679">
        <w:t xml:space="preserve"> and Distribution</w:t>
      </w:r>
      <w:r w:rsidRPr="00C87986" w:rsidR="00322679">
        <w:t xml:space="preserve"> </w:t>
      </w:r>
      <w:r w:rsidR="00322679">
        <w:t>A</w:t>
      </w:r>
      <w:r w:rsidRPr="00C87986" w:rsidR="00322679">
        <w:t>greement</w:t>
      </w:r>
      <w:r w:rsidRPr="00C87986">
        <w:t xml:space="preserve"> upon ninety (90) days prior written notice to the other parties. The </w:t>
      </w:r>
      <w:r w:rsidR="00322679">
        <w:t>I</w:t>
      </w:r>
      <w:r w:rsidRPr="00C87986" w:rsidR="00322679">
        <w:t xml:space="preserve">nvestment </w:t>
      </w:r>
      <w:r w:rsidR="00322679">
        <w:t>M</w:t>
      </w:r>
      <w:r w:rsidRPr="00C87986" w:rsidR="00322679">
        <w:t>anagement</w:t>
      </w:r>
      <w:r w:rsidR="00322679">
        <w:t xml:space="preserve"> and Distribution</w:t>
      </w:r>
      <w:r w:rsidRPr="00C87986" w:rsidR="00322679">
        <w:t xml:space="preserve"> </w:t>
      </w:r>
      <w:r w:rsidR="00322679">
        <w:t>A</w:t>
      </w:r>
      <w:r w:rsidRPr="00C87986" w:rsidR="00322679">
        <w:t xml:space="preserve">greement </w:t>
      </w:r>
      <w:r w:rsidRPr="00C87986">
        <w:t>may be terminated by any party forthwith by notice in writing in certain circumstances, including if any shall</w:t>
      </w:r>
      <w:r>
        <w:t>:</w:t>
      </w:r>
      <w:r w:rsidRPr="00C87986">
        <w:t xml:space="preserve"> (i) commit any material breach of its obligations under the </w:t>
      </w:r>
      <w:r w:rsidR="00322679">
        <w:t>I</w:t>
      </w:r>
      <w:r w:rsidRPr="00C87986" w:rsidR="00322679">
        <w:t xml:space="preserve">nvestment </w:t>
      </w:r>
      <w:r w:rsidR="00322679">
        <w:t>M</w:t>
      </w:r>
      <w:r w:rsidRPr="00C87986" w:rsidR="00322679">
        <w:t>anagement</w:t>
      </w:r>
      <w:r w:rsidR="00322679">
        <w:t xml:space="preserve"> and Distribution</w:t>
      </w:r>
      <w:r w:rsidRPr="00C87986" w:rsidR="00322679">
        <w:t xml:space="preserve"> </w:t>
      </w:r>
      <w:r w:rsidR="00322679">
        <w:t>A</w:t>
      </w:r>
      <w:r w:rsidRPr="00C87986" w:rsidR="00322679">
        <w:t xml:space="preserve">greement </w:t>
      </w:r>
      <w:r w:rsidRPr="00C87986">
        <w:t xml:space="preserve">and shall fail to make good such breach within (30) days of receipt of notice requiring it to do so; (ii) be the subject of an effective resolution for its winding up; (iii) be the subject of a court order for its winding up or liquidation; (iv) have a receiver appointed; (v) be the subject of any petition for the appointment of an examiner; </w:t>
      </w:r>
      <w:r>
        <w:t xml:space="preserve">and/or </w:t>
      </w:r>
      <w:r w:rsidRPr="00C87986">
        <w:t>(v</w:t>
      </w:r>
      <w:r w:rsidR="007D17C1">
        <w:t>i</w:t>
      </w:r>
      <w:r w:rsidRPr="00C87986">
        <w:t>) cease to be permitted to perform its duties or obligations under any applicable laws</w:t>
      </w:r>
      <w:r>
        <w:t>.</w:t>
      </w:r>
    </w:p>
    <w:p w:rsidRPr="007475C0" w:rsidR="00987029" w:rsidP="007475C0" w:rsidRDefault="00987029" w14:paraId="1F8C7F6E" w14:textId="77777777">
      <w:pPr>
        <w:pStyle w:val="ssPara"/>
        <w:rPr>
          <w:u w:val="single"/>
        </w:rPr>
      </w:pPr>
      <w:r w:rsidRPr="007475C0">
        <w:rPr>
          <w:u w:val="single"/>
        </w:rPr>
        <w:t>Limited Recourse</w:t>
      </w:r>
    </w:p>
    <w:p w:rsidRPr="00132657" w:rsidR="00987029" w:rsidP="007475C0" w:rsidRDefault="00987029" w14:paraId="6C015F66" w14:textId="71EDF687">
      <w:pPr>
        <w:pStyle w:val="ssPara"/>
      </w:pPr>
      <w:r w:rsidRPr="00132657">
        <w:t>A Shareholder in the Sub-Fund is solely entitled to look to the Sub-Fund</w:t>
      </w:r>
      <w:r w:rsidR="002A0300">
        <w:t>’</w:t>
      </w:r>
      <w:r w:rsidRPr="00132657">
        <w:t xml:space="preserve">s assets in respect of all payments in respect of its Shares </w:t>
      </w:r>
      <w:r w:rsidRPr="00132657">
        <w:rPr>
          <w:color w:val="000000"/>
        </w:rPr>
        <w:t>as the assets and liabilities of each sub-fund of the Fund are segregated from each other sub-fund of the Fund and the Fund itself</w:t>
      </w:r>
      <w:r w:rsidRPr="00132657">
        <w:t>. If the realised net assets of the Sub-Fund are insufficient to pay any amounts payable in respect of the Shares, the Shareholder will have no further right of payment in respect of such Shares nor any claim against or recourse to any of the assets of any other sub-fund or any other asset of the Fund</w:t>
      </w:r>
      <w:r w:rsidR="00AF34F4">
        <w:t xml:space="preserve"> or any personal assets of the Manager</w:t>
      </w:r>
      <w:r w:rsidRPr="00132657">
        <w:t>.</w:t>
      </w:r>
    </w:p>
    <w:p w:rsidRPr="007475C0" w:rsidR="00987029" w:rsidP="007475C0" w:rsidRDefault="00987029" w14:paraId="53E085F8" w14:textId="63F46C73">
      <w:pPr>
        <w:pStyle w:val="ssPara"/>
        <w:rPr>
          <w:u w:val="single"/>
        </w:rPr>
      </w:pPr>
      <w:r w:rsidRPr="007475C0">
        <w:rPr>
          <w:u w:val="single"/>
        </w:rPr>
        <w:t>EU Sustainable Finance Disclosure Regulation</w:t>
      </w:r>
    </w:p>
    <w:p w:rsidRPr="00132657" w:rsidR="00987029" w:rsidP="007475C0" w:rsidRDefault="00354C6C" w14:paraId="67806ABC" w14:textId="706FF993">
      <w:pPr>
        <w:pStyle w:val="ssPara"/>
      </w:pPr>
      <w:r>
        <w:lastRenderedPageBreak/>
        <w:t>The Manager</w:t>
      </w:r>
      <w:r w:rsidRPr="00132657" w:rsidR="00987029">
        <w:t xml:space="preserve">, in conjunction with the Investment Manager has categorised the Sub-Fund as meeting the provisions set out in Article </w:t>
      </w:r>
      <w:r w:rsidR="00485986">
        <w:t>8</w:t>
      </w:r>
      <w:r w:rsidRPr="00132657" w:rsidR="00987029">
        <w:t xml:space="preserve"> of SFDR.</w:t>
      </w:r>
    </w:p>
    <w:p w:rsidRPr="00132657" w:rsidR="00987029" w:rsidP="007475C0" w:rsidRDefault="00987029" w14:paraId="3BA70DB6" w14:textId="560A8F31">
      <w:pPr>
        <w:pStyle w:val="Heading1"/>
      </w:pPr>
      <w:bookmarkStart w:name="_Toc160050446" w:id="8"/>
      <w:bookmarkEnd w:id="4"/>
      <w:r w:rsidRPr="00132657">
        <w:t>INVESTMENT OBJECTIVE, POLICY, STRATEGY AND RESTRICTIONS</w:t>
      </w:r>
      <w:bookmarkEnd w:id="8"/>
    </w:p>
    <w:p w:rsidRPr="00132657" w:rsidR="00987029" w:rsidP="007475C0" w:rsidRDefault="00987029" w14:paraId="12C5C747" w14:textId="77777777">
      <w:pPr>
        <w:pStyle w:val="ssPara"/>
      </w:pPr>
      <w:r w:rsidRPr="00132657">
        <w:rPr>
          <w:rFonts w:cs="Arial"/>
          <w:u w:val="single"/>
        </w:rPr>
        <w:t>Investment Objective</w:t>
      </w:r>
    </w:p>
    <w:p w:rsidRPr="00132657" w:rsidR="00987029" w:rsidP="007475C0" w:rsidRDefault="00485986" w14:paraId="487A9F32" w14:textId="616690F1">
      <w:pPr>
        <w:pStyle w:val="ssPara"/>
      </w:pPr>
      <w:r w:rsidRPr="00B6205C">
        <w:rPr>
          <w:rFonts w:cs="Arial"/>
        </w:rPr>
        <w:t xml:space="preserve">The </w:t>
      </w:r>
      <w:r>
        <w:rPr>
          <w:rFonts w:cs="Arial"/>
        </w:rPr>
        <w:t xml:space="preserve">investment </w:t>
      </w:r>
      <w:r w:rsidRPr="00B6205C">
        <w:rPr>
          <w:rFonts w:cs="Arial"/>
        </w:rPr>
        <w:t xml:space="preserve">objective of the </w:t>
      </w:r>
      <w:r>
        <w:rPr>
          <w:rFonts w:cs="Arial"/>
        </w:rPr>
        <w:t>Sub-Fund</w:t>
      </w:r>
      <w:r w:rsidRPr="00B6205C">
        <w:rPr>
          <w:rFonts w:cs="Arial"/>
        </w:rPr>
        <w:t xml:space="preserve"> is to provide income with an opportunity for capital growth, by investing </w:t>
      </w:r>
      <w:r>
        <w:rPr>
          <w:rFonts w:cs="Arial"/>
        </w:rPr>
        <w:t xml:space="preserve">primarily </w:t>
      </w:r>
      <w:r w:rsidRPr="00B6205C">
        <w:rPr>
          <w:rFonts w:cs="Arial"/>
        </w:rPr>
        <w:t xml:space="preserve">in a broad range of bonds and fixed income assets from across the Emerging Markets universe.  </w:t>
      </w:r>
    </w:p>
    <w:p w:rsidRPr="00132657" w:rsidR="00987029" w:rsidP="007475C0" w:rsidRDefault="00987029" w14:paraId="091EF089" w14:textId="77777777">
      <w:pPr>
        <w:pStyle w:val="ssPara"/>
      </w:pPr>
      <w:r w:rsidRPr="00132657">
        <w:t xml:space="preserve">There is no guarantee that the investment objective will be </w:t>
      </w:r>
      <w:proofErr w:type="gramStart"/>
      <w:r w:rsidRPr="00132657">
        <w:t>achieved</w:t>
      </w:r>
      <w:proofErr w:type="gramEnd"/>
      <w:r w:rsidRPr="00132657">
        <w:t xml:space="preserve"> and it may not always be possible to achieve. </w:t>
      </w:r>
    </w:p>
    <w:p w:rsidRPr="00132657" w:rsidR="00987029" w:rsidP="007475C0" w:rsidRDefault="00987029" w14:paraId="771A0DE6" w14:textId="77777777">
      <w:pPr>
        <w:pStyle w:val="ssPara"/>
        <w:rPr>
          <w:u w:val="single"/>
        </w:rPr>
      </w:pPr>
      <w:r w:rsidRPr="00132657">
        <w:rPr>
          <w:u w:val="single"/>
        </w:rPr>
        <w:t xml:space="preserve">Investment Policy </w:t>
      </w:r>
    </w:p>
    <w:p w:rsidR="00987029" w:rsidP="007475C0" w:rsidRDefault="00987029" w14:paraId="3D9423B9" w14:textId="633E1F96">
      <w:pPr>
        <w:pStyle w:val="ssPara"/>
      </w:pPr>
      <w:r>
        <w:t xml:space="preserve">The Sub-Fund is actively managed and in order to achieve its investment objective, the Sub-Fund will invest, in a manner consistent with the UCITS Rules, in debt securities issued by corporates, government or corporate agencies or government entities which have a </w:t>
      </w:r>
      <w:bookmarkStart w:name="_Hlk149251398" w:id="9"/>
      <w:r>
        <w:t>significant portion of assets, investments, production activities, trading or other business interests</w:t>
      </w:r>
      <w:bookmarkEnd w:id="9"/>
      <w:r>
        <w:t xml:space="preserve"> in Emerging Markets or which derive a significant part of their revenue from Emerging Markets. </w:t>
      </w:r>
      <w:r w:rsidRPr="009605AE" w:rsidR="009605AE">
        <w:t xml:space="preserve">Emerging markets are countries </w:t>
      </w:r>
      <w:r w:rsidRPr="009543F0" w:rsidR="00485986">
        <w:t>whose economies are less developed according to the World Bank, its related organizations or the United Nations or its authorities</w:t>
      </w:r>
      <w:r w:rsidR="00485986">
        <w:t xml:space="preserve"> </w:t>
      </w:r>
      <w:r w:rsidR="009605AE">
        <w:t>(</w:t>
      </w:r>
      <w:r w:rsidR="002A0300">
        <w:t>“</w:t>
      </w:r>
      <w:r w:rsidR="009605AE">
        <w:rPr>
          <w:u w:val="single"/>
        </w:rPr>
        <w:t>Emerging Markets</w:t>
      </w:r>
      <w:r w:rsidR="002A0300">
        <w:t>”</w:t>
      </w:r>
      <w:r w:rsidR="009605AE">
        <w:t>)</w:t>
      </w:r>
      <w:r w:rsidR="001E2351">
        <w:t>.</w:t>
      </w:r>
      <w:r w:rsidR="00B90439">
        <w:t xml:space="preserve"> </w:t>
      </w:r>
      <w:r w:rsidRPr="009543F0" w:rsidR="00B90439">
        <w:t xml:space="preserve">The list of </w:t>
      </w:r>
      <w:r w:rsidR="00B90439">
        <w:t>E</w:t>
      </w:r>
      <w:r w:rsidRPr="009543F0" w:rsidR="00B90439">
        <w:t xml:space="preserve">merging </w:t>
      </w:r>
      <w:r w:rsidR="00B90439">
        <w:t>M</w:t>
      </w:r>
      <w:r w:rsidRPr="009543F0" w:rsidR="00B90439">
        <w:t xml:space="preserve">arkets is subject to continuous change. The Investment Manager has broad discretion to identify countries that it considers </w:t>
      </w:r>
      <w:proofErr w:type="gramStart"/>
      <w:r w:rsidRPr="009543F0" w:rsidR="00B90439">
        <w:t>to qualify</w:t>
      </w:r>
      <w:proofErr w:type="gramEnd"/>
      <w:r w:rsidRPr="009543F0" w:rsidR="00B90439">
        <w:t xml:space="preserve"> as </w:t>
      </w:r>
      <w:r w:rsidR="00B90439">
        <w:t>E</w:t>
      </w:r>
      <w:r w:rsidRPr="009543F0" w:rsidR="00B90439">
        <w:t xml:space="preserve">merging </w:t>
      </w:r>
      <w:r w:rsidR="00B90439">
        <w:t>M</w:t>
      </w:r>
      <w:r w:rsidRPr="009543F0" w:rsidR="00B90439">
        <w:t>arkets.</w:t>
      </w:r>
      <w:r>
        <w:t xml:space="preserve"> The Sub-Fund may invest in a broadly diversified portfolio of securities with no fixed geographical or industry sector weightings. </w:t>
      </w:r>
    </w:p>
    <w:p w:rsidRPr="00947859" w:rsidR="00987029" w:rsidP="007475C0" w:rsidRDefault="00987029" w14:paraId="772B41A7" w14:textId="44309AA5">
      <w:pPr>
        <w:pStyle w:val="ssPara"/>
        <w:rPr>
          <w:rFonts w:eastAsia="SimSun"/>
        </w:rPr>
      </w:pPr>
      <w:r w:rsidRPr="00947859">
        <w:rPr>
          <w:rFonts w:eastAsia="SimSun"/>
        </w:rPr>
        <w:t xml:space="preserve">The </w:t>
      </w:r>
      <w:r w:rsidRPr="00B84B3A" w:rsidR="00B84B3A">
        <w:rPr>
          <w:rFonts w:eastAsia="SimSun"/>
        </w:rPr>
        <w:t>Sub-Fund will invest in debt securities of varying maturities. At least 51% of the Sub-Fund</w:t>
      </w:r>
      <w:r w:rsidR="002A0300">
        <w:rPr>
          <w:rFonts w:eastAsia="SimSun"/>
        </w:rPr>
        <w:t>’</w:t>
      </w:r>
      <w:r w:rsidRPr="00B84B3A" w:rsidR="00B84B3A">
        <w:rPr>
          <w:rFonts w:eastAsia="SimSun"/>
        </w:rPr>
        <w:t xml:space="preserve">s Net Asset Value will be invested in debt securities which are </w:t>
      </w:r>
      <w:r w:rsidR="005E5F21">
        <w:rPr>
          <w:rFonts w:eastAsia="SimSun"/>
        </w:rPr>
        <w:t xml:space="preserve">rated </w:t>
      </w:r>
      <w:r w:rsidRPr="00B84B3A" w:rsidR="00B84B3A">
        <w:rPr>
          <w:rFonts w:eastAsia="SimSun"/>
        </w:rPr>
        <w:t>investment grade by at least one rating agency. Beyond this, there is no further limitation on the portion of the Sub-Fund</w:t>
      </w:r>
      <w:r w:rsidR="002A0300">
        <w:rPr>
          <w:rFonts w:eastAsia="SimSun"/>
        </w:rPr>
        <w:t>’</w:t>
      </w:r>
      <w:r w:rsidRPr="00B84B3A" w:rsidR="00B84B3A">
        <w:rPr>
          <w:rFonts w:eastAsia="SimSun"/>
        </w:rPr>
        <w:t xml:space="preserve">s Net Asset Value which will be invested in debt securities which are below investment </w:t>
      </w:r>
      <w:proofErr w:type="gramStart"/>
      <w:r w:rsidRPr="00B84B3A" w:rsidR="00B84B3A">
        <w:rPr>
          <w:rFonts w:eastAsia="SimSun"/>
        </w:rPr>
        <w:t>grade</w:t>
      </w:r>
      <w:proofErr w:type="gramEnd"/>
      <w:r w:rsidRPr="00B84B3A" w:rsidR="00B84B3A">
        <w:rPr>
          <w:rFonts w:eastAsia="SimSun"/>
        </w:rPr>
        <w:t xml:space="preserve"> or which may not be rated. The Sub-Fund may sell investments without regard to the length of time that they have been held </w:t>
      </w:r>
      <w:proofErr w:type="gramStart"/>
      <w:r w:rsidRPr="00B84B3A" w:rsidR="00B84B3A">
        <w:rPr>
          <w:rFonts w:eastAsia="SimSun"/>
        </w:rPr>
        <w:t>in order to</w:t>
      </w:r>
      <w:proofErr w:type="gramEnd"/>
      <w:r w:rsidRPr="00B84B3A" w:rsidR="00B84B3A">
        <w:rPr>
          <w:rFonts w:eastAsia="SimSun"/>
        </w:rPr>
        <w:t xml:space="preserve"> take advantage of new investment opportunities or the difference between yields on differing debt securities, or because the Sub-Fund desires to preserve gains or limit losses due to changing economic conditions.</w:t>
      </w:r>
    </w:p>
    <w:p w:rsidRPr="00947859" w:rsidR="00987029" w:rsidP="007475C0" w:rsidRDefault="00987029" w14:paraId="51828E84" w14:textId="4A16C8EE">
      <w:pPr>
        <w:pStyle w:val="ssPara"/>
        <w:rPr>
          <w:rFonts w:eastAsia="SimSun"/>
        </w:rPr>
      </w:pPr>
      <w:r w:rsidRPr="00947859">
        <w:rPr>
          <w:rFonts w:eastAsia="SimSun"/>
        </w:rPr>
        <w:t xml:space="preserve">The </w:t>
      </w:r>
      <w:r>
        <w:rPr>
          <w:rFonts w:eastAsia="SimSun"/>
        </w:rPr>
        <w:t xml:space="preserve">Sub-Fund </w:t>
      </w:r>
      <w:r w:rsidRPr="00947859">
        <w:rPr>
          <w:rFonts w:eastAsia="SimSun"/>
        </w:rPr>
        <w:t xml:space="preserve">may also invest in debt securities issued and/or guaranteed by a single sovereign issuer (including its government, public or local authority).  Such investments are based on the professional judgement of the Investment Manager whose reasons for investment may include a favourable/positive outlook on the relevant sovereign issuer, potential for ratings upgrade and expected changes in the value of such investments due to ratings changes. </w:t>
      </w:r>
      <w:r>
        <w:rPr>
          <w:rFonts w:eastAsia="SimSun"/>
        </w:rPr>
        <w:t xml:space="preserve"> </w:t>
      </w:r>
    </w:p>
    <w:p w:rsidR="00987029" w:rsidP="007475C0" w:rsidRDefault="00987029" w14:paraId="18A238B2" w14:textId="12813815">
      <w:pPr>
        <w:pStyle w:val="ssPara"/>
        <w:rPr>
          <w:rFonts w:eastAsia="SimSun"/>
        </w:rPr>
      </w:pPr>
      <w:r w:rsidRPr="00947859">
        <w:rPr>
          <w:rFonts w:eastAsia="SimSun"/>
        </w:rPr>
        <w:t xml:space="preserve">Debt securities as referred to above shall include fixed income bonds, floating rate bonds, and commercial paper issued by corporations, government or corporate agencies and government entities which </w:t>
      </w:r>
      <w:r w:rsidR="004B50FA">
        <w:rPr>
          <w:rFonts w:eastAsia="SimSun"/>
        </w:rPr>
        <w:t xml:space="preserve">predominantly </w:t>
      </w:r>
      <w:r w:rsidRPr="00947859">
        <w:rPr>
          <w:rFonts w:eastAsia="SimSun"/>
        </w:rPr>
        <w:t xml:space="preserve">are domiciled or conduct </w:t>
      </w:r>
      <w:proofErr w:type="gramStart"/>
      <w:r>
        <w:rPr>
          <w:rFonts w:eastAsia="SimSun"/>
        </w:rPr>
        <w:t xml:space="preserve">the </w:t>
      </w:r>
      <w:r w:rsidRPr="00947859">
        <w:rPr>
          <w:rFonts w:eastAsia="SimSun"/>
        </w:rPr>
        <w:t>majority of</w:t>
      </w:r>
      <w:proofErr w:type="gramEnd"/>
      <w:r w:rsidRPr="00947859">
        <w:rPr>
          <w:rFonts w:eastAsia="SimSun"/>
        </w:rPr>
        <w:t xml:space="preserve"> their economic activity in Emerging Markets.</w:t>
      </w:r>
    </w:p>
    <w:p w:rsidRPr="00947859" w:rsidR="00987029" w:rsidP="007475C0" w:rsidRDefault="00987029" w14:paraId="2265B6DE" w14:textId="28354DF4">
      <w:pPr>
        <w:pStyle w:val="ssPara"/>
        <w:rPr>
          <w:rFonts w:eastAsia="SimSun"/>
        </w:rPr>
      </w:pPr>
      <w:r w:rsidRPr="00947859">
        <w:rPr>
          <w:rFonts w:eastAsia="SimSun"/>
        </w:rPr>
        <w:t xml:space="preserve">The </w:t>
      </w:r>
      <w:r>
        <w:rPr>
          <w:rFonts w:eastAsia="SimSun"/>
        </w:rPr>
        <w:t xml:space="preserve">Sub-Fund </w:t>
      </w:r>
      <w:r w:rsidRPr="00947859">
        <w:rPr>
          <w:rFonts w:eastAsia="SimSun"/>
        </w:rPr>
        <w:t>may invest in the Mainland China interbank bond markets (</w:t>
      </w:r>
      <w:r w:rsidR="002A0300">
        <w:rPr>
          <w:rFonts w:eastAsia="SimSun"/>
        </w:rPr>
        <w:t>“</w:t>
      </w:r>
      <w:r w:rsidRPr="00C24E70">
        <w:rPr>
          <w:rFonts w:eastAsia="SimSun"/>
          <w:u w:val="single"/>
        </w:rPr>
        <w:t>China Interbank Bond Market</w:t>
      </w:r>
      <w:r w:rsidR="002A0300">
        <w:rPr>
          <w:rFonts w:eastAsia="SimSun"/>
        </w:rPr>
        <w:t>”</w:t>
      </w:r>
      <w:r w:rsidRPr="00947859">
        <w:rPr>
          <w:rFonts w:eastAsia="SimSun"/>
        </w:rPr>
        <w:t>)</w:t>
      </w:r>
      <w:r>
        <w:rPr>
          <w:rFonts w:eastAsia="SimSun"/>
        </w:rPr>
        <w:t>,</w:t>
      </w:r>
      <w:r w:rsidRPr="00947859">
        <w:rPr>
          <w:rFonts w:eastAsia="SimSun"/>
        </w:rPr>
        <w:t xml:space="preserve"> via Bond Connect </w:t>
      </w:r>
      <w:r>
        <w:rPr>
          <w:rFonts w:eastAsia="SimSun"/>
        </w:rPr>
        <w:t xml:space="preserve">or otherwise, and </w:t>
      </w:r>
      <w:r w:rsidRPr="00947859">
        <w:rPr>
          <w:rFonts w:eastAsia="SimSun"/>
        </w:rPr>
        <w:t>subject to the requirements of the Central Bank and the Mainland Chinese authorities.</w:t>
      </w:r>
      <w:r w:rsidR="00A72D8C">
        <w:rPr>
          <w:rFonts w:eastAsia="SimSun"/>
        </w:rPr>
        <w:t xml:space="preserve"> Further information on the China Interbank Bond Market can be found </w:t>
      </w:r>
      <w:r w:rsidR="00DB2B05">
        <w:rPr>
          <w:rFonts w:eastAsia="SimSun"/>
        </w:rPr>
        <w:t>in the Prospectus.</w:t>
      </w:r>
    </w:p>
    <w:p w:rsidR="00987029" w:rsidP="007475C0" w:rsidRDefault="00987029" w14:paraId="332530F3" w14:textId="50794BDA">
      <w:pPr>
        <w:pStyle w:val="ssPara"/>
        <w:rPr>
          <w:rFonts w:eastAsia="SimSun"/>
        </w:rPr>
      </w:pPr>
      <w:proofErr w:type="gramStart"/>
      <w:r w:rsidRPr="00947859">
        <w:rPr>
          <w:rFonts w:eastAsia="SimSun"/>
        </w:rPr>
        <w:t>With the exception of</w:t>
      </w:r>
      <w:proofErr w:type="gramEnd"/>
      <w:r w:rsidRPr="00947859">
        <w:rPr>
          <w:rFonts w:eastAsia="SimSun"/>
        </w:rPr>
        <w:t xml:space="preserve"> permitted investment in unlisted securities, investments will be made on the Markets listed in </w:t>
      </w:r>
      <w:r>
        <w:rPr>
          <w:rFonts w:eastAsia="SimSun"/>
        </w:rPr>
        <w:t>Appendix</w:t>
      </w:r>
      <w:r w:rsidRPr="00947859">
        <w:rPr>
          <w:rFonts w:eastAsia="SimSun"/>
        </w:rPr>
        <w:t xml:space="preserve"> </w:t>
      </w:r>
      <w:r>
        <w:rPr>
          <w:rFonts w:eastAsia="SimSun"/>
        </w:rPr>
        <w:t>3</w:t>
      </w:r>
      <w:r w:rsidRPr="00947859">
        <w:rPr>
          <w:rFonts w:eastAsia="SimSun"/>
        </w:rPr>
        <w:t xml:space="preserve"> to the Prospectus.</w:t>
      </w:r>
    </w:p>
    <w:p w:rsidR="007D789F" w:rsidP="007475C0" w:rsidRDefault="007D789F" w14:paraId="55BFECC9" w14:textId="0F4FEF4A">
      <w:pPr>
        <w:pStyle w:val="ssPara"/>
        <w:rPr>
          <w:rFonts w:eastAsia="SimSun"/>
        </w:rPr>
      </w:pPr>
      <w:r>
        <w:rPr>
          <w:rFonts w:eastAsia="SimSun"/>
        </w:rPr>
        <w:t xml:space="preserve">The Investment Manager’s investment process is </w:t>
      </w:r>
      <w:r w:rsidRPr="007D789F">
        <w:rPr>
          <w:rFonts w:eastAsia="SimSun"/>
        </w:rPr>
        <w:t>strategically designed to capitali</w:t>
      </w:r>
      <w:r>
        <w:rPr>
          <w:rFonts w:eastAsia="SimSun"/>
        </w:rPr>
        <w:t>s</w:t>
      </w:r>
      <w:r w:rsidRPr="007D789F">
        <w:rPr>
          <w:rFonts w:eastAsia="SimSun"/>
        </w:rPr>
        <w:t>e on both top-down macroeconomic trends and bottom-up fundamental analysis with the aim to deliver a quality-enhanced emerging market bond portfolio that seeks to optimi</w:t>
      </w:r>
      <w:r>
        <w:rPr>
          <w:rFonts w:eastAsia="SimSun"/>
        </w:rPr>
        <w:t>s</w:t>
      </w:r>
      <w:r w:rsidRPr="007D789F">
        <w:rPr>
          <w:rFonts w:eastAsia="SimSun"/>
        </w:rPr>
        <w:t>e income and total returns while managing risk.</w:t>
      </w:r>
    </w:p>
    <w:p w:rsidR="007D789F" w:rsidP="007475C0" w:rsidRDefault="007D789F" w14:paraId="089B969E" w14:textId="3562552E">
      <w:pPr>
        <w:pStyle w:val="ssPara"/>
        <w:rPr>
          <w:rFonts w:eastAsia="SimSun"/>
          <w:i/>
          <w:iCs/>
        </w:rPr>
      </w:pPr>
      <w:r w:rsidRPr="007D789F">
        <w:rPr>
          <w:rFonts w:eastAsia="SimSun"/>
          <w:i/>
          <w:iCs/>
        </w:rPr>
        <w:lastRenderedPageBreak/>
        <w:t>Top-Down Approach: Strategic Macro Analysis</w:t>
      </w:r>
    </w:p>
    <w:p w:rsidRPr="007D789F" w:rsidR="007D789F" w:rsidP="007475C0" w:rsidRDefault="007D789F" w14:paraId="186A912B" w14:textId="282D2BF3">
      <w:pPr>
        <w:pStyle w:val="ssPara"/>
        <w:rPr>
          <w:rFonts w:eastAsia="SimSun"/>
          <w:i/>
          <w:iCs/>
        </w:rPr>
      </w:pPr>
      <w:r>
        <w:rPr>
          <w:rFonts w:eastAsia="SimSun"/>
        </w:rPr>
        <w:t xml:space="preserve">Strategic </w:t>
      </w:r>
      <w:r w:rsidRPr="007D789F">
        <w:rPr>
          <w:rFonts w:eastAsia="SimSun"/>
        </w:rPr>
        <w:t>asset allocation: The Investment Manager’s investment process starts with its strategic view of the market. Using its perception of the broader economic indicators, the Investment Manager aims to anticipate market movements and adjust its strategic allocations to different bond sectors accordingly.</w:t>
      </w:r>
    </w:p>
    <w:p w:rsidRPr="007D789F" w:rsidR="007D789F" w:rsidP="007475C0" w:rsidRDefault="007D789F" w14:paraId="67FBC631" w14:textId="0CB13741">
      <w:pPr>
        <w:pStyle w:val="ssPara"/>
        <w:rPr>
          <w:rFonts w:eastAsia="SimSun"/>
          <w:i/>
          <w:iCs/>
        </w:rPr>
      </w:pPr>
      <w:r>
        <w:rPr>
          <w:rFonts w:eastAsia="SimSun"/>
        </w:rPr>
        <w:t>Tactical c</w:t>
      </w:r>
      <w:r w:rsidRPr="007D789F">
        <w:rPr>
          <w:rFonts w:eastAsia="SimSun"/>
        </w:rPr>
        <w:t xml:space="preserve">ycle </w:t>
      </w:r>
      <w:r>
        <w:rPr>
          <w:rFonts w:eastAsia="SimSun"/>
        </w:rPr>
        <w:t>m</w:t>
      </w:r>
      <w:r w:rsidRPr="007D789F">
        <w:rPr>
          <w:rFonts w:eastAsia="SimSun"/>
        </w:rPr>
        <w:t>anagement: The Investment Manager employs a tactical asset allocation strategy, adjusting the Sub-Fund’s exposures based on the stage of the economic cycle. The Investment Manager continuously monitors economic data, interest rate trends, and fiscal policies with the aim of determining the optimal time to overweight or underweight certain industries, countries and sectors.</w:t>
      </w:r>
    </w:p>
    <w:p w:rsidR="007D789F" w:rsidP="007475C0" w:rsidRDefault="007D789F" w14:paraId="05A1656D" w14:textId="23CDA17F">
      <w:pPr>
        <w:pStyle w:val="ssPara"/>
        <w:rPr>
          <w:rFonts w:eastAsia="SimSun"/>
          <w:i/>
          <w:iCs/>
        </w:rPr>
      </w:pPr>
      <w:r>
        <w:rPr>
          <w:rFonts w:eastAsia="SimSun"/>
          <w:i/>
          <w:iCs/>
        </w:rPr>
        <w:t>Bottom-Up Approach: Rigorous Security Selection</w:t>
      </w:r>
    </w:p>
    <w:p w:rsidRPr="007D789F" w:rsidR="007D789F" w:rsidP="007475C0" w:rsidRDefault="007D789F" w14:paraId="22B93970" w14:textId="43F05FE5">
      <w:pPr>
        <w:pStyle w:val="ssPara"/>
        <w:rPr>
          <w:rFonts w:eastAsia="SimSun"/>
          <w:i/>
          <w:iCs/>
        </w:rPr>
      </w:pPr>
      <w:r>
        <w:rPr>
          <w:rFonts w:eastAsia="SimSun"/>
        </w:rPr>
        <w:t>Key f</w:t>
      </w:r>
      <w:r w:rsidRPr="007D789F">
        <w:rPr>
          <w:rFonts w:eastAsia="SimSun"/>
        </w:rPr>
        <w:t xml:space="preserve">actors </w:t>
      </w:r>
      <w:r>
        <w:rPr>
          <w:rFonts w:eastAsia="SimSun"/>
        </w:rPr>
        <w:t>a</w:t>
      </w:r>
      <w:r w:rsidRPr="007D789F">
        <w:rPr>
          <w:rFonts w:eastAsia="SimSun"/>
        </w:rPr>
        <w:t xml:space="preserve">nalysis: On the security level, the Investment Manager evaluates individual bonds in considerable detail to assess credit quality, duration, yield, and the issuer's financial health. Focusing on key factors such as issuer creditworthiness, market positioning and </w:t>
      </w:r>
      <w:r w:rsidR="00696372">
        <w:rPr>
          <w:rFonts w:eastAsia="SimSun"/>
        </w:rPr>
        <w:t>environmental, social and governance (“</w:t>
      </w:r>
      <w:r w:rsidR="00696372">
        <w:rPr>
          <w:rFonts w:eastAsia="SimSun"/>
          <w:u w:val="single"/>
        </w:rPr>
        <w:t>ESG</w:t>
      </w:r>
      <w:r w:rsidR="00696372">
        <w:rPr>
          <w:rFonts w:eastAsia="SimSun"/>
        </w:rPr>
        <w:t>”)</w:t>
      </w:r>
      <w:r w:rsidRPr="007D789F">
        <w:rPr>
          <w:rFonts w:eastAsia="SimSun"/>
        </w:rPr>
        <w:t xml:space="preserve"> characteristics, the Investment Manager aims to select bonds</w:t>
      </w:r>
      <w:r w:rsidR="00B13A51">
        <w:rPr>
          <w:rFonts w:eastAsia="SimSun"/>
        </w:rPr>
        <w:t xml:space="preserve"> (which may include </w:t>
      </w:r>
      <w:r w:rsidR="00DB2B05">
        <w:rPr>
          <w:rFonts w:eastAsia="SimSun"/>
        </w:rPr>
        <w:t>G</w:t>
      </w:r>
      <w:r w:rsidR="00B13A51">
        <w:rPr>
          <w:rFonts w:eastAsia="SimSun"/>
        </w:rPr>
        <w:t xml:space="preserve">reen </w:t>
      </w:r>
      <w:r w:rsidR="00DB2B05">
        <w:rPr>
          <w:rFonts w:eastAsia="SimSun"/>
        </w:rPr>
        <w:t>B</w:t>
      </w:r>
      <w:r w:rsidR="00B13A51">
        <w:rPr>
          <w:rFonts w:eastAsia="SimSun"/>
        </w:rPr>
        <w:t>onds from time to time)</w:t>
      </w:r>
      <w:r w:rsidRPr="007D789F">
        <w:rPr>
          <w:rFonts w:eastAsia="SimSun"/>
        </w:rPr>
        <w:t xml:space="preserve"> offering the best risk-adjusted returns.</w:t>
      </w:r>
      <w:r w:rsidR="00995FED">
        <w:rPr>
          <w:rFonts w:eastAsia="SimSun"/>
        </w:rPr>
        <w:t xml:space="preserve"> Where it is proposed that Green Bonds will be selected, the Investment Manager will ensure that such Green Bonds are fully aligned with the Green Bond Principles (as defined in the Prospectus).</w:t>
      </w:r>
    </w:p>
    <w:p w:rsidRPr="007D789F" w:rsidR="007D789F" w:rsidP="007475C0" w:rsidRDefault="007D789F" w14:paraId="4D040ED2" w14:textId="06DBC8ED">
      <w:pPr>
        <w:pStyle w:val="ssPara"/>
        <w:rPr>
          <w:rFonts w:eastAsia="SimSun"/>
          <w:i/>
          <w:iCs/>
        </w:rPr>
      </w:pPr>
      <w:r>
        <w:rPr>
          <w:rFonts w:cs="Arial"/>
        </w:rPr>
        <w:t xml:space="preserve">Facilitated </w:t>
      </w:r>
      <w:r w:rsidRPr="005B467E">
        <w:rPr>
          <w:rFonts w:cs="Arial"/>
        </w:rPr>
        <w:t xml:space="preserve">by a </w:t>
      </w:r>
      <w:r>
        <w:rPr>
          <w:rFonts w:cs="Arial"/>
        </w:rPr>
        <w:t>q</w:t>
      </w:r>
      <w:r w:rsidRPr="005B467E">
        <w:rPr>
          <w:rFonts w:cs="Arial"/>
        </w:rPr>
        <w:t xml:space="preserve">uant </w:t>
      </w:r>
      <w:r>
        <w:rPr>
          <w:rFonts w:cs="Arial"/>
        </w:rPr>
        <w:t>f</w:t>
      </w:r>
      <w:r w:rsidRPr="005B467E">
        <w:rPr>
          <w:rFonts w:cs="Arial"/>
        </w:rPr>
        <w:t xml:space="preserve">iltering </w:t>
      </w:r>
      <w:r>
        <w:rPr>
          <w:rFonts w:cs="Arial"/>
        </w:rPr>
        <w:t>f</w:t>
      </w:r>
      <w:r w:rsidRPr="005B467E">
        <w:rPr>
          <w:rFonts w:cs="Arial"/>
        </w:rPr>
        <w:t>ramework: The Investment Manager’s selection process is supported by a proprietary quantitative filtering framework that screens bonds based on a range of metrics, including expected return, credit spread, and liquidity. This quantitative approach aims to complement the Investment Manager’s fundamental analysis and is designed to help it to identify undervalued bonds with potential for appreciation.</w:t>
      </w:r>
    </w:p>
    <w:p w:rsidRPr="007D789F" w:rsidR="007D789F" w:rsidP="007475C0" w:rsidRDefault="007D789F" w14:paraId="38B7E6FE" w14:textId="0D71A5B5">
      <w:pPr>
        <w:pStyle w:val="ssPara"/>
        <w:rPr>
          <w:rFonts w:eastAsia="SimSun"/>
          <w:i/>
          <w:iCs/>
        </w:rPr>
      </w:pPr>
      <w:r>
        <w:rPr>
          <w:rFonts w:cs="Arial"/>
          <w:i/>
          <w:iCs/>
        </w:rPr>
        <w:t>Process Integration and Execution</w:t>
      </w:r>
    </w:p>
    <w:p w:rsidRPr="007D789F" w:rsidR="007D789F" w:rsidP="007475C0" w:rsidRDefault="007D789F" w14:paraId="5BEEBE29" w14:textId="6C820A9A">
      <w:pPr>
        <w:pStyle w:val="ssPara"/>
        <w:rPr>
          <w:rFonts w:eastAsia="SimSun"/>
          <w:i/>
          <w:iCs/>
        </w:rPr>
      </w:pPr>
      <w:r>
        <w:rPr>
          <w:rFonts w:cs="Arial"/>
        </w:rPr>
        <w:t xml:space="preserve">By </w:t>
      </w:r>
      <w:r w:rsidRPr="007D789F">
        <w:rPr>
          <w:rFonts w:cs="Arial"/>
        </w:rPr>
        <w:t>blending these top-down and bottom-up approaches, the investment process seeks to construct a diversified bond portfolio that is well-positioned to navigate changing market conditions. The Investment Manager’s strategists are employed to provide macroeconomic insights that inform its security selection, with the aim of ensuring that its investment decisions are aligned with its overall market outlook.</w:t>
      </w:r>
    </w:p>
    <w:p w:rsidRPr="007D789F" w:rsidR="007D789F" w:rsidP="007475C0" w:rsidRDefault="007D789F" w14:paraId="53DD9421" w14:textId="5E678829">
      <w:pPr>
        <w:pStyle w:val="ssPara"/>
        <w:rPr>
          <w:rFonts w:eastAsia="SimSun"/>
          <w:i/>
          <w:iCs/>
        </w:rPr>
      </w:pPr>
      <w:r>
        <w:rPr>
          <w:rFonts w:cs="Arial"/>
          <w:i/>
          <w:iCs/>
        </w:rPr>
        <w:t>Continuous review and risk management</w:t>
      </w:r>
    </w:p>
    <w:p w:rsidRPr="007D789F" w:rsidR="007D789F" w:rsidP="007D789F" w:rsidRDefault="007D789F" w14:paraId="6A44BF11" w14:textId="77777777">
      <w:pPr>
        <w:pStyle w:val="ssPara"/>
        <w:rPr>
          <w:rFonts w:cs="Arial"/>
        </w:rPr>
      </w:pPr>
      <w:r>
        <w:rPr>
          <w:rFonts w:cs="Arial"/>
        </w:rPr>
        <w:t xml:space="preserve">The </w:t>
      </w:r>
      <w:r w:rsidRPr="007D789F">
        <w:rPr>
          <w:rFonts w:cs="Arial"/>
        </w:rPr>
        <w:t>Investment Manager’s investment process aims to be dynamic, with continuous monitoring and periodic reviews to ensure its portfolio aligns with its investment objectives and risk parameters. It employs risk management techniques to mitigate credit, interest rate, and liquidity risks, with the aim of ensuring that the Sub-Fund’s investments are managed appropriately against market volatility.</w:t>
      </w:r>
    </w:p>
    <w:p w:rsidRPr="00696372" w:rsidR="007D789F" w:rsidP="007D789F" w:rsidRDefault="007D789F" w14:paraId="44DF7F9C" w14:textId="5496D088">
      <w:pPr>
        <w:pStyle w:val="ssPara"/>
        <w:rPr>
          <w:rFonts w:eastAsia="SimSun"/>
          <w:i/>
          <w:iCs/>
        </w:rPr>
      </w:pPr>
      <w:r w:rsidRPr="007D789F">
        <w:rPr>
          <w:rFonts w:cs="Arial"/>
        </w:rPr>
        <w:t>The Investment Manager aims to take a comprehensive approach that leverages market-wide economic trends and in-depth bond analysis. It seeks to create a portfolio that takes a quality-enhanced approach to emerging market bond investing and provides income with the potential for capital growth across various market environments.</w:t>
      </w:r>
    </w:p>
    <w:p w:rsidRPr="00696372" w:rsidR="00696372" w:rsidP="007D789F" w:rsidRDefault="00696372" w14:paraId="38CADC2E" w14:textId="48288F1A">
      <w:pPr>
        <w:pStyle w:val="ssPara"/>
        <w:rPr>
          <w:rFonts w:eastAsia="SimSun"/>
          <w:i/>
          <w:iCs/>
          <w:u w:val="single"/>
        </w:rPr>
      </w:pPr>
      <w:r w:rsidRPr="00696372">
        <w:rPr>
          <w:rFonts w:cs="Arial"/>
          <w:u w:val="single"/>
        </w:rPr>
        <w:t>Environmental, Social and Governance Considerations</w:t>
      </w:r>
    </w:p>
    <w:p w:rsidRPr="00947859" w:rsidR="00183D1A" w:rsidP="007475C0" w:rsidRDefault="00183D1A" w14:paraId="473DAC7B" w14:textId="4E4E7D67">
      <w:pPr>
        <w:pStyle w:val="ssPara"/>
        <w:rPr>
          <w:rFonts w:eastAsia="SimSun"/>
        </w:rPr>
      </w:pPr>
      <w:r>
        <w:rPr>
          <w:rFonts w:eastAsia="SimSun"/>
        </w:rPr>
        <w:t xml:space="preserve">As more particularly described in Schedule 1 below, the Sub-Fund will promote environmental and social characteristics including: (i) Environmental: </w:t>
      </w:r>
      <w:r w:rsidRPr="00183D1A">
        <w:rPr>
          <w:rFonts w:eastAsia="SimSun"/>
        </w:rPr>
        <w:t>climate change prevention (in terms for example of reduction of carbon emission, carbon footprint, climate change vulnerability), pollution &amp; waste prevention (with reference to toxic emissions &amp; waste, packaging material &amp; waste, electronic waste), environmental opportunities (in clean tech, in renewable energy);</w:t>
      </w:r>
      <w:r>
        <w:rPr>
          <w:rFonts w:eastAsia="SimSun"/>
        </w:rPr>
        <w:t xml:space="preserve"> and (ii) Social: </w:t>
      </w:r>
      <w:r w:rsidRPr="00183D1A">
        <w:rPr>
          <w:rFonts w:eastAsia="SimSun"/>
        </w:rPr>
        <w:t xml:space="preserve">human capital (labour management, health &amp; safety, human capital development, supply chain labour standards), product liability (product safety &amp; quality, chemical safety, consumer financial protection, privacy &amp; data security, responsible investment, health &amp; demographic risk), social opportunities (access to communications, access to </w:t>
      </w:r>
      <w:r w:rsidRPr="00183D1A">
        <w:rPr>
          <w:rFonts w:eastAsia="SimSun"/>
        </w:rPr>
        <w:lastRenderedPageBreak/>
        <w:t>finance, access to health care, opportunities in nutrition &amp; health), stakeholder opposition (controversial sourcing, community relations).</w:t>
      </w:r>
    </w:p>
    <w:p w:rsidRPr="00132657" w:rsidR="00987029" w:rsidP="007475C0" w:rsidRDefault="00987029" w14:paraId="666F6CEC" w14:textId="77777777">
      <w:pPr>
        <w:pStyle w:val="ssPara"/>
        <w:keepNext/>
        <w:rPr>
          <w:u w:val="single"/>
          <w:lang w:eastAsia="en-GB"/>
        </w:rPr>
      </w:pPr>
      <w:r w:rsidRPr="00132657">
        <w:rPr>
          <w:u w:val="single"/>
          <w:lang w:eastAsia="en-GB"/>
        </w:rPr>
        <w:t>Cash and Money Market Instruments</w:t>
      </w:r>
    </w:p>
    <w:p w:rsidRPr="00132657" w:rsidR="00987029" w:rsidP="007475C0" w:rsidRDefault="00987029" w14:paraId="5BB28122" w14:textId="74FC7CC5">
      <w:pPr>
        <w:pStyle w:val="ssPara"/>
      </w:pPr>
      <w:r w:rsidRPr="00132657">
        <w:t xml:space="preserve">The Sub-Fund may invest in cash and money market instruments including term deposits, cash and near-cash instruments (such as short-term commercial paper and certificates of deposit). </w:t>
      </w:r>
    </w:p>
    <w:p w:rsidRPr="00132657" w:rsidR="00987029" w:rsidP="007475C0" w:rsidRDefault="00987029" w14:paraId="6A10E8AA" w14:textId="77777777">
      <w:pPr>
        <w:pStyle w:val="ssPara"/>
        <w:rPr>
          <w:b/>
          <w:bCs/>
        </w:rPr>
      </w:pPr>
      <w:r w:rsidRPr="00132657">
        <w:t>Money market instruments and cash may be held both for investment purposes and for ancillary liquid</w:t>
      </w:r>
      <w:r>
        <w:t>ity</w:t>
      </w:r>
      <w:r w:rsidRPr="00132657">
        <w:t xml:space="preserve"> purposes. </w:t>
      </w:r>
    </w:p>
    <w:p w:rsidRPr="00132657" w:rsidR="00987029" w:rsidP="007475C0" w:rsidRDefault="00987029" w14:paraId="25BAB081" w14:textId="77777777">
      <w:pPr>
        <w:pStyle w:val="ssPara"/>
        <w:rPr>
          <w:u w:val="single"/>
        </w:rPr>
      </w:pPr>
      <w:r w:rsidRPr="00132657">
        <w:rPr>
          <w:u w:val="single"/>
        </w:rPr>
        <w:t>CIS and Investment Funds</w:t>
      </w:r>
    </w:p>
    <w:p w:rsidRPr="00132657" w:rsidR="00987029" w:rsidP="007475C0" w:rsidRDefault="00987029" w14:paraId="06120A2D" w14:textId="3D52AB69">
      <w:pPr>
        <w:pStyle w:val="ssPara"/>
      </w:pPr>
      <w:r w:rsidRPr="00132657">
        <w:t>The Sub-Fund may invest, in aggregate, up to 10% of its Net Asset Value in eligible open-ended CIS (including eligible ETFs)</w:t>
      </w:r>
      <w:r w:rsidR="004B185E">
        <w:t xml:space="preserve"> which provide exposure to the asset classes listed in this investment policy</w:t>
      </w:r>
      <w:r w:rsidRPr="00132657">
        <w:t xml:space="preserve">. </w:t>
      </w:r>
    </w:p>
    <w:p w:rsidRPr="00132657" w:rsidR="00987029" w:rsidP="007475C0" w:rsidRDefault="00987029" w14:paraId="7D1D147F" w14:textId="77777777">
      <w:pPr>
        <w:pStyle w:val="ssPara"/>
        <w:rPr>
          <w:u w:val="single"/>
        </w:rPr>
      </w:pPr>
      <w:r w:rsidRPr="00132657">
        <w:rPr>
          <w:u w:val="single"/>
        </w:rPr>
        <w:t>Currencies</w:t>
      </w:r>
    </w:p>
    <w:p w:rsidRPr="00132657" w:rsidR="00987029" w:rsidP="007475C0" w:rsidRDefault="00987029" w14:paraId="5FA83629" w14:textId="336DE26B">
      <w:pPr>
        <w:pStyle w:val="ssPara"/>
        <w:rPr>
          <w:b/>
          <w:bCs/>
        </w:rPr>
      </w:pPr>
      <w:r w:rsidRPr="00132657">
        <w:t xml:space="preserve">The Sub-Fund may have exposure to currencies through its cash holdings in different currencies and through its direct and indirect investment </w:t>
      </w:r>
      <w:r>
        <w:t xml:space="preserve">in </w:t>
      </w:r>
      <w:r w:rsidRPr="00132657">
        <w:t xml:space="preserve">debt securities (as detailed above). These securities may be denominated in the Base Currency or in other currencies. The currency exposure of the Sub-Fund may be adjusted </w:t>
      </w:r>
      <w:proofErr w:type="gramStart"/>
      <w:r w:rsidRPr="00132657">
        <w:t>through the use of</w:t>
      </w:r>
      <w:proofErr w:type="gramEnd"/>
      <w:r w:rsidRPr="00132657">
        <w:t xml:space="preserve"> currency derivatives such as futures and forwards on currencies (as detailed below).</w:t>
      </w:r>
    </w:p>
    <w:p w:rsidRPr="00132657" w:rsidR="00987029" w:rsidP="007475C0" w:rsidRDefault="00987029" w14:paraId="53329DA2" w14:textId="77777777">
      <w:pPr>
        <w:pStyle w:val="ssPara"/>
        <w:rPr>
          <w:u w:val="single"/>
        </w:rPr>
      </w:pPr>
      <w:r w:rsidRPr="00132657">
        <w:rPr>
          <w:u w:val="single"/>
        </w:rPr>
        <w:t>Derivatives</w:t>
      </w:r>
    </w:p>
    <w:p w:rsidRPr="00132657" w:rsidR="00987029" w:rsidP="007475C0" w:rsidRDefault="00987029" w14:paraId="57D6286A" w14:textId="72D95C77">
      <w:pPr>
        <w:pStyle w:val="ssPara"/>
      </w:pPr>
      <w:r w:rsidRPr="00132657">
        <w:t xml:space="preserve">The Sub-Fund may invest in the derivatives set out below </w:t>
      </w:r>
      <w:r>
        <w:t xml:space="preserve">for </w:t>
      </w:r>
      <w:r w:rsidRPr="00132657">
        <w:t xml:space="preserve">investment purposes (including to manage currency exposure), hedging and for efficient portfolio management, to reduce risk, as a substitute for taking a direct position where it is more efficient than investing directly and/or to </w:t>
      </w:r>
      <w:proofErr w:type="spellStart"/>
      <w:r w:rsidRPr="00132657">
        <w:t>equitise</w:t>
      </w:r>
      <w:proofErr w:type="spellEnd"/>
      <w:r w:rsidRPr="00132657">
        <w:t xml:space="preserve"> cash balances pending investment of cash flows. The underlying instruments of the derivatives will be the asset classes </w:t>
      </w:r>
      <w:r w:rsidR="005E5F22">
        <w:t xml:space="preserve">and/or currencies </w:t>
      </w:r>
      <w:r w:rsidRPr="00132657">
        <w:t>detailed above. Where the Sub-Fund invests in derivatives to provide exposure to indices, the indices will be in accordance with the UCITS Rules.</w:t>
      </w:r>
    </w:p>
    <w:p w:rsidRPr="00132657" w:rsidR="00987029" w:rsidP="007475C0" w:rsidRDefault="00987029" w14:paraId="4DD95F2C" w14:textId="159827D6">
      <w:pPr>
        <w:pStyle w:val="ssPara"/>
      </w:pPr>
      <w:r w:rsidRPr="00132657">
        <w:rPr>
          <w:i/>
          <w:iCs/>
        </w:rPr>
        <w:t>Futures</w:t>
      </w:r>
      <w:r w:rsidRPr="00132657">
        <w:t>: The Sub-Fund may buy or sell futures to express an investment view on the underlying asset</w:t>
      </w:r>
      <w:r>
        <w:t>(s)</w:t>
      </w:r>
      <w:r w:rsidRPr="00132657">
        <w:t xml:space="preserve"> by increasing or decreasing exposure to the asset</w:t>
      </w:r>
      <w:r>
        <w:t>(s)</w:t>
      </w:r>
      <w:r w:rsidRPr="00132657">
        <w:t xml:space="preserve"> and/or for efficient portfolio management purposes. The underlying </w:t>
      </w:r>
      <w:r>
        <w:t xml:space="preserve">asset(s) </w:t>
      </w:r>
      <w:r w:rsidRPr="00132657">
        <w:t xml:space="preserve">of the futures contracts may include, but are not limited to, debt securities (issued or guaranteed by governments, </w:t>
      </w:r>
      <w:proofErr w:type="spellStart"/>
      <w:r w:rsidRPr="00132657">
        <w:t>supranationals</w:t>
      </w:r>
      <w:proofErr w:type="spellEnd"/>
      <w:r w:rsidRPr="00132657">
        <w:t>, agencies and</w:t>
      </w:r>
      <w:r>
        <w:t>/or</w:t>
      </w:r>
      <w:r w:rsidRPr="00132657">
        <w:t xml:space="preserve"> corporates), interest rates, currencies and indices. Indices may include debt security indices </w:t>
      </w:r>
      <w:r w:rsidR="00F16F32">
        <w:t xml:space="preserve">and </w:t>
      </w:r>
      <w:r w:rsidRPr="00132657">
        <w:t xml:space="preserve">currency indices. </w:t>
      </w:r>
    </w:p>
    <w:p w:rsidRPr="00132657" w:rsidR="00987029" w:rsidP="007475C0" w:rsidRDefault="00987029" w14:paraId="2724EDB5" w14:textId="46E02407">
      <w:pPr>
        <w:pStyle w:val="ssPara"/>
      </w:pPr>
      <w:r w:rsidRPr="00132657">
        <w:rPr>
          <w:i/>
          <w:iCs/>
        </w:rPr>
        <w:t>Options</w:t>
      </w:r>
      <w:r w:rsidRPr="00132657">
        <w:t>: The Sub-Fund may buy or sell options to express an investment view on the underlying asset</w:t>
      </w:r>
      <w:r>
        <w:t>(s)</w:t>
      </w:r>
      <w:r w:rsidRPr="00132657">
        <w:t xml:space="preserve"> by increasing or decreasing exposure to the asset</w:t>
      </w:r>
      <w:r>
        <w:t>(s)</w:t>
      </w:r>
      <w:r w:rsidRPr="00132657">
        <w:t xml:space="preserve"> and/or for efficient portfolio management purposes. The underlying of </w:t>
      </w:r>
      <w:r>
        <w:t>such</w:t>
      </w:r>
      <w:r w:rsidRPr="00132657">
        <w:t xml:space="preserve"> options may include, but are not limited to, debt securities, interest rates, currencies</w:t>
      </w:r>
      <w:r w:rsidR="002C7C51">
        <w:t xml:space="preserve"> and</w:t>
      </w:r>
      <w:r w:rsidRPr="00132657">
        <w:t xml:space="preserve"> futures and indices. Indices may include debt security indices</w:t>
      </w:r>
      <w:r w:rsidR="002C7C51">
        <w:t xml:space="preserve"> and</w:t>
      </w:r>
      <w:r w:rsidRPr="00132657">
        <w:t xml:space="preserve"> currency indices.</w:t>
      </w:r>
    </w:p>
    <w:p w:rsidRPr="00132657" w:rsidR="00987029" w:rsidP="007475C0" w:rsidRDefault="00987029" w14:paraId="4EC0009C" w14:textId="77777777">
      <w:pPr>
        <w:pStyle w:val="ssPara"/>
      </w:pPr>
      <w:r w:rsidRPr="00132657">
        <w:rPr>
          <w:i/>
        </w:rPr>
        <w:t>Futures and Forwards on currencies and short-term interest rates</w:t>
      </w:r>
      <w:r w:rsidRPr="00132657">
        <w:t xml:space="preserve">: The Sub-Fund may use such derivatives to hedge exposure to foreign currency movement incurred by the Sub-Fund through investment in non-Base Currency instruments for investment purposes and to implement currency views and for Share Class hedging purposes to seek to hedge against declines in the values of one or more Classes of the Sub-Fund, as a result of changes in currency exchange rates as set out below. </w:t>
      </w:r>
    </w:p>
    <w:p w:rsidRPr="00132657" w:rsidR="00987029" w:rsidP="007475C0" w:rsidRDefault="00987029" w14:paraId="36E441EE" w14:textId="77777777">
      <w:pPr>
        <w:pStyle w:val="ssPara"/>
        <w:rPr>
          <w:b/>
          <w:bCs/>
        </w:rPr>
      </w:pPr>
      <w:r w:rsidRPr="00132657">
        <w:rPr>
          <w:i/>
          <w:iCs/>
        </w:rPr>
        <w:t>Warrants:</w:t>
      </w:r>
      <w:r w:rsidRPr="00132657">
        <w:t xml:space="preserve"> The Sub-Fund may receive warrants passively </w:t>
      </w:r>
      <w:proofErr w:type="gramStart"/>
      <w:r w:rsidRPr="00132657">
        <w:t>as a result of</w:t>
      </w:r>
      <w:proofErr w:type="gramEnd"/>
      <w:r w:rsidRPr="00132657">
        <w:t xml:space="preserve"> a corporate </w:t>
      </w:r>
      <w:proofErr w:type="gramStart"/>
      <w:r w:rsidRPr="00132657">
        <w:t>action</w:t>
      </w:r>
      <w:proofErr w:type="gramEnd"/>
      <w:r w:rsidRPr="00132657">
        <w:t xml:space="preserve"> but the Investment Manager will exercise or sell warrants received by the Sub-Fund promptly and in accordance with the UCITS Rules. Warrants are long dated options where the price, performance and liquidity are linked to that of an underlying security, typically an equity.</w:t>
      </w:r>
    </w:p>
    <w:p w:rsidRPr="00132657" w:rsidR="00987029" w:rsidP="007475C0" w:rsidRDefault="00987029" w14:paraId="6DC21875" w14:textId="67140000">
      <w:pPr>
        <w:pStyle w:val="ssPara"/>
        <w:rPr>
          <w:b/>
          <w:bCs/>
        </w:rPr>
      </w:pPr>
      <w:r w:rsidRPr="00132657">
        <w:lastRenderedPageBreak/>
        <w:t xml:space="preserve">The </w:t>
      </w:r>
      <w:r w:rsidRPr="006706A8" w:rsidR="006706A8">
        <w:t>Sub-Fund may utilise Securities Financing Transactions with an expected usage of 0-2% and a maximum limit of 30% of its Net Asset Value. The Sub-Fund may utilise Total Return Swaps with an expected usage of 0-5% and a maximum limit of 30% of its Net Asset Value.</w:t>
      </w:r>
    </w:p>
    <w:p w:rsidRPr="00132657" w:rsidR="00987029" w:rsidP="007475C0" w:rsidRDefault="00987029" w14:paraId="4A3127E8" w14:textId="42CBFDDF">
      <w:pPr>
        <w:pStyle w:val="ssPara"/>
      </w:pPr>
      <w:bookmarkStart w:name="_Hlk51702294" w:id="10"/>
      <w:proofErr w:type="gramStart"/>
      <w:r w:rsidRPr="00132657">
        <w:t>With the exception of</w:t>
      </w:r>
      <w:proofErr w:type="gramEnd"/>
      <w:r w:rsidRPr="00132657">
        <w:t xml:space="preserve"> any limits on investment disclosed above, the Sub-Fund will invest with no formal limitations on exposure to any specific asset class, country, sector or region including </w:t>
      </w:r>
      <w:r>
        <w:t>E</w:t>
      </w:r>
      <w:r w:rsidRPr="00132657">
        <w:t xml:space="preserve">merging </w:t>
      </w:r>
      <w:r>
        <w:t>M</w:t>
      </w:r>
      <w:r w:rsidRPr="00132657">
        <w:t xml:space="preserve">arkets. Permitted listed investments of the Sub-Fund will be restricted to the stock exchanges and markets as listed in Appendix 3 – </w:t>
      </w:r>
      <w:r w:rsidR="002A0300">
        <w:t>“</w:t>
      </w:r>
      <w:r w:rsidRPr="00132657">
        <w:t>Eligible Markets</w:t>
      </w:r>
      <w:r w:rsidR="002A0300">
        <w:t>”</w:t>
      </w:r>
      <w:r w:rsidRPr="00132657">
        <w:t xml:space="preserve"> in the Prospectus.</w:t>
      </w:r>
    </w:p>
    <w:bookmarkEnd w:id="10"/>
    <w:p w:rsidRPr="00132657" w:rsidR="00987029" w:rsidP="007475C0" w:rsidRDefault="00987029" w14:paraId="5AD4BC3B" w14:textId="77777777">
      <w:pPr>
        <w:pStyle w:val="ssPara"/>
        <w:rPr>
          <w:b/>
          <w:bCs/>
          <w:u w:val="single"/>
        </w:rPr>
      </w:pPr>
      <w:r w:rsidRPr="00132657">
        <w:rPr>
          <w:u w:val="single"/>
        </w:rPr>
        <w:t>Investment Restrictions</w:t>
      </w:r>
    </w:p>
    <w:p w:rsidRPr="00132657" w:rsidR="00987029" w:rsidP="007475C0" w:rsidRDefault="00987029" w14:paraId="51343405" w14:textId="7CC43D05">
      <w:pPr>
        <w:pStyle w:val="ssPara"/>
      </w:pPr>
      <w:r w:rsidRPr="00132657">
        <w:t xml:space="preserve">Investors </w:t>
      </w:r>
      <w:proofErr w:type="gramStart"/>
      <w:r w:rsidRPr="00132657">
        <w:t>in particular must</w:t>
      </w:r>
      <w:proofErr w:type="gramEnd"/>
      <w:r w:rsidRPr="00132657">
        <w:t xml:space="preserve"> note the general investment restrictions set out under the heading </w:t>
      </w:r>
      <w:r w:rsidR="002A0300">
        <w:t>“</w:t>
      </w:r>
      <w:r w:rsidRPr="00132657">
        <w:t>Investment Restrictions</w:t>
      </w:r>
      <w:r w:rsidR="002A0300">
        <w:t>”</w:t>
      </w:r>
      <w:r w:rsidRPr="00132657">
        <w:t xml:space="preserve"> in the Prospectus, which apply to the Sub-Fund.</w:t>
      </w:r>
    </w:p>
    <w:p w:rsidRPr="00132657" w:rsidR="00987029" w:rsidP="007475C0" w:rsidRDefault="00987029" w14:paraId="5ABC7E54" w14:textId="77777777">
      <w:pPr>
        <w:pStyle w:val="ssPara"/>
        <w:rPr>
          <w:u w:val="single"/>
        </w:rPr>
      </w:pPr>
      <w:r w:rsidRPr="00132657">
        <w:rPr>
          <w:u w:val="single"/>
        </w:rPr>
        <w:t>Borrowing and Leverage</w:t>
      </w:r>
    </w:p>
    <w:p w:rsidRPr="00132657" w:rsidR="00987029" w:rsidP="007475C0" w:rsidRDefault="00987029" w14:paraId="0C47468B" w14:textId="77777777">
      <w:pPr>
        <w:pStyle w:val="ssPara"/>
        <w:rPr>
          <w:b/>
          <w:bCs/>
        </w:rPr>
      </w:pPr>
      <w:bookmarkStart w:name="_Toc148409532" w:id="11"/>
      <w:bookmarkStart w:name="_Toc167685321" w:id="12"/>
      <w:bookmarkStart w:name="_Toc196119342" w:id="13"/>
      <w:bookmarkStart w:name="_Toc199047505" w:id="14"/>
      <w:bookmarkStart w:name="_Toc201637036" w:id="15"/>
      <w:bookmarkStart w:name="_Toc201637189" w:id="16"/>
      <w:bookmarkStart w:name="_Toc230662748" w:id="17"/>
      <w:bookmarkStart w:name="_Toc233109946" w:id="18"/>
      <w:bookmarkStart w:name="_Toc233110409" w:id="19"/>
      <w:bookmarkStart w:name="_Toc290454414" w:id="20"/>
      <w:bookmarkStart w:name="_Toc291761574" w:id="21"/>
      <w:bookmarkStart w:name="_Toc361865843" w:id="22"/>
      <w:bookmarkStart w:name="_Toc363580335" w:id="23"/>
      <w:bookmarkStart w:name="_Toc390454986" w:id="24"/>
      <w:bookmarkStart w:name="_Toc393830484" w:id="25"/>
      <w:bookmarkStart w:name="_Toc399497333" w:id="26"/>
      <w:bookmarkStart w:name="_Toc413232919" w:id="27"/>
      <w:bookmarkStart w:name="_Toc531478128" w:id="28"/>
      <w:bookmarkStart w:name="_Toc533000393" w:id="29"/>
      <w:bookmarkStart w:name="_Toc533000567" w:id="30"/>
      <w:bookmarkStart w:name="_Toc533000661" w:id="31"/>
      <w:bookmarkStart w:name="_Toc534898682" w:id="32"/>
      <w:bookmarkStart w:name="_Toc4752672" w:id="33"/>
      <w:bookmarkStart w:name="_Toc4752720" w:id="34"/>
      <w:bookmarkStart w:name="_Toc35417826" w:id="35"/>
      <w:r w:rsidRPr="00132657">
        <w:t xml:space="preserve">The Sub-Fund may borrow up to 10% of its Net Asset Value provided that such borrowing is for a period of up to one month to cover a cash shortfall caused by mismatched settlement dates on purchase and sale transactions or on a temporary basis to finance redemptions. The assets of the Sub-Fund may be charged as security for any such borrowings. </w:t>
      </w:r>
    </w:p>
    <w:p w:rsidRPr="00132657" w:rsidR="00987029" w:rsidP="007475C0" w:rsidRDefault="00987029" w14:paraId="2569F6CC" w14:textId="77777777">
      <w:pPr>
        <w:pStyle w:val="ssPara"/>
        <w:rPr>
          <w:b/>
          <w:bCs/>
        </w:rPr>
      </w:pPr>
      <w:r w:rsidRPr="00132657">
        <w:t>The Sub-Fund may not borrow for investment purposes.</w:t>
      </w:r>
    </w:p>
    <w:p w:rsidRPr="00132657" w:rsidR="00987029" w:rsidP="007475C0" w:rsidRDefault="00987029" w14:paraId="6D2DC1B4" w14:textId="77777777">
      <w:pPr>
        <w:pStyle w:val="ssPara"/>
      </w:pPr>
      <w:r w:rsidRPr="00132657">
        <w:t xml:space="preserve">The Sub-Fund will use </w:t>
      </w:r>
      <w:r>
        <w:t xml:space="preserve">the </w:t>
      </w:r>
      <w:r w:rsidRPr="00132657">
        <w:t xml:space="preserve">commitment approach to calculate its global exposure </w:t>
      </w:r>
      <w:proofErr w:type="gramStart"/>
      <w:r w:rsidRPr="00132657">
        <w:t>on a daily basis</w:t>
      </w:r>
      <w:proofErr w:type="gramEnd"/>
      <w:r w:rsidRPr="00132657">
        <w:t xml:space="preserve">. The Sub-Fund may be leveraged </w:t>
      </w:r>
      <w:proofErr w:type="gramStart"/>
      <w:r w:rsidRPr="00132657">
        <w:t>through the use of</w:t>
      </w:r>
      <w:proofErr w:type="gramEnd"/>
      <w:r w:rsidRPr="00132657">
        <w:t xml:space="preserve"> the above financial derivative instruments. The leveraged exposure of the Sub-Fund </w:t>
      </w:r>
      <w:proofErr w:type="gramStart"/>
      <w:r w:rsidRPr="00132657">
        <w:t>through the use of</w:t>
      </w:r>
      <w:proofErr w:type="gramEnd"/>
      <w:r w:rsidRPr="00132657">
        <w:t xml:space="preserve"> these derivatives will not exceed 100% of the Net Asset Value of the Sub-Fund under the commitment approach. </w:t>
      </w:r>
    </w:p>
    <w:p w:rsidRPr="00132657" w:rsidR="00987029" w:rsidP="007475C0" w:rsidRDefault="00987029" w14:paraId="0F6D0F2E" w14:textId="77777777">
      <w:pPr>
        <w:pStyle w:val="ssPara"/>
      </w:pPr>
      <w:r w:rsidRPr="00132657">
        <w:t>A risk management policy has been filed with the Central Bank which enables the accurate measurement, monitoring and management of the various risks associated with the use of financial derivative instruments. The Sub-Fund will, on request, provide supplementary information to Shareholders relating to the risk management methods employed, including the quantitative limits that are applied and any recent developments in the risk and yield characteristics of the main categories of investments.</w:t>
      </w:r>
    </w:p>
    <w:p w:rsidRPr="00132657" w:rsidR="00987029" w:rsidP="007475C0" w:rsidRDefault="00987029" w14:paraId="65EC03B1" w14:textId="77777777">
      <w:pPr>
        <w:pStyle w:val="ssPara"/>
        <w:rPr>
          <w:b/>
          <w:bCs/>
          <w:u w:val="single"/>
        </w:rPr>
      </w:pPr>
      <w:r w:rsidRPr="00132657">
        <w:rPr>
          <w:u w:val="single"/>
        </w:rPr>
        <w:t>Currency Hedging</w:t>
      </w:r>
    </w:p>
    <w:p w:rsidRPr="00132657" w:rsidR="00987029" w:rsidP="007475C0" w:rsidRDefault="00987029" w14:paraId="2A568F0B" w14:textId="77777777">
      <w:pPr>
        <w:pStyle w:val="ssPara"/>
        <w:rPr>
          <w:b/>
          <w:bCs/>
        </w:rPr>
      </w:pPr>
      <w:r w:rsidRPr="00132657">
        <w:t xml:space="preserve">All hedging transactions are clearly attributable to a specific Class and therefore, currency exposures of different Classes are not combined or offset and currency exposures of assets of the Sub-Fund are not allocated to separate Classes. To the extent that hedging is successful, the performance of the relevant Class is likely to move in line with the performance of the underlying assets and investors in a hedged Class </w:t>
      </w:r>
      <w:r>
        <w:t>are unlikely to</w:t>
      </w:r>
      <w:r w:rsidRPr="00132657">
        <w:t xml:space="preserve"> benefit if the currency of the Class falls against the currency in which the assets of the Sub-Fund are held.</w:t>
      </w:r>
    </w:p>
    <w:p w:rsidRPr="00132657" w:rsidR="00987029" w:rsidP="007475C0" w:rsidRDefault="00987029" w14:paraId="55BA687E" w14:textId="5CB20482">
      <w:pPr>
        <w:pStyle w:val="ssPara"/>
      </w:pPr>
      <w:r w:rsidRPr="00132657">
        <w:t>Assets of the Sub-Fund may be denominated in a currency other than the Base Currency and changes in the exchange rate between the Base Currency and the currency of the asset may lead to a depreciation of the value of the Sub-Fund</w:t>
      </w:r>
      <w:r w:rsidR="002A0300">
        <w:t>’</w:t>
      </w:r>
      <w:r w:rsidRPr="00132657">
        <w:t>s assets as expressed in the Base Currency. The Investment Manager may seek to mitigate this exchange rate risk by using derivatives.</w:t>
      </w:r>
    </w:p>
    <w:p w:rsidRPr="00132657" w:rsidR="00987029" w:rsidP="007475C0" w:rsidRDefault="00987029" w14:paraId="6B479F42" w14:textId="76AEDA1B">
      <w:pPr>
        <w:pStyle w:val="ssPara"/>
      </w:pPr>
      <w:r w:rsidRPr="00132657">
        <w:t xml:space="preserve">Where the Sub-Fund seeks to hedge against currency fluctuations, while not intended, this could result in over-hedged or under-hedged positions due to external factors outside the control of the Sub-Fund. The currency exposures of future Classes of Shares may be hedged. Where the </w:t>
      </w:r>
      <w:r>
        <w:t>notional amount</w:t>
      </w:r>
      <w:r w:rsidRPr="00132657">
        <w:t xml:space="preserve"> of the </w:t>
      </w:r>
      <w:r>
        <w:t xml:space="preserve">currency </w:t>
      </w:r>
      <w:r w:rsidRPr="00132657">
        <w:t>hedge</w:t>
      </w:r>
      <w:r>
        <w:t>(</w:t>
      </w:r>
      <w:r w:rsidRPr="00132657">
        <w:t>s</w:t>
      </w:r>
      <w:r>
        <w:t>)</w:t>
      </w:r>
      <w:r w:rsidRPr="00132657">
        <w:t xml:space="preserve"> in place in respect of a given Class is less or more than 100% of the Net Asset Value attributable to that Class, the Investment Manager</w:t>
      </w:r>
      <w:r>
        <w:t xml:space="preserve"> and/or the Administrator, as applicable,</w:t>
      </w:r>
      <w:r w:rsidRPr="00132657">
        <w:t xml:space="preserve"> </w:t>
      </w:r>
      <w:r>
        <w:t xml:space="preserve">will </w:t>
      </w:r>
      <w:r w:rsidRPr="00132657">
        <w:t xml:space="preserve">keep the situation under review and ensure that </w:t>
      </w:r>
      <w:r>
        <w:t>the notional amount of currency hedge(s)</w:t>
      </w:r>
      <w:r w:rsidRPr="00132657">
        <w:t xml:space="preserve"> do</w:t>
      </w:r>
      <w:r>
        <w:t>es</w:t>
      </w:r>
      <w:r w:rsidRPr="00132657">
        <w:t xml:space="preserve"> not exceed 105% of the Net Asset Value, and do</w:t>
      </w:r>
      <w:r>
        <w:t>es</w:t>
      </w:r>
      <w:r w:rsidRPr="00132657">
        <w:t xml:space="preserve"> not fall short of 95% of the Net Asset Value and </w:t>
      </w:r>
      <w:r>
        <w:t xml:space="preserve">that any excess or shortfall in this respect is </w:t>
      </w:r>
      <w:r w:rsidRPr="00132657">
        <w:t xml:space="preserve">not carried forward from month to month. </w:t>
      </w:r>
      <w:r w:rsidR="00CF5F01">
        <w:t>The limits in the preceding sentence may be set narrower at any time, at the Investment Manager</w:t>
      </w:r>
      <w:r w:rsidR="002A0300">
        <w:t>’</w:t>
      </w:r>
      <w:r w:rsidR="00CF5F01">
        <w:t xml:space="preserve">s discretion. </w:t>
      </w:r>
      <w:r w:rsidRPr="00132657">
        <w:t xml:space="preserve">While it is not the intention of </w:t>
      </w:r>
      <w:r w:rsidRPr="00132657">
        <w:lastRenderedPageBreak/>
        <w:t>the Investment Manager</w:t>
      </w:r>
      <w:r>
        <w:t xml:space="preserve"> or the Administrator, as applicable</w:t>
      </w:r>
      <w:r w:rsidRPr="00132657">
        <w:t>, over-hedged or under-hedged positions may arise due to factors outside the control of the Investment Manager</w:t>
      </w:r>
      <w:r>
        <w:t xml:space="preserve"> or the Administrator, as applicable,</w:t>
      </w:r>
      <w:r w:rsidRPr="00132657">
        <w:t xml:space="preserve"> and/or the Sub-Fund.</w:t>
      </w:r>
    </w:p>
    <w:p w:rsidRPr="00132657" w:rsidR="00987029" w:rsidP="007475C0" w:rsidRDefault="00987029" w14:paraId="35B59FFD" w14:textId="77777777">
      <w:pPr>
        <w:pStyle w:val="ssPara"/>
        <w:rPr>
          <w:b/>
          <w:bCs/>
        </w:rPr>
      </w:pPr>
      <w:r w:rsidRPr="00132657">
        <w:t>To the extent that hedging is successful for a particular Class, the performance of the Class is likely to move in line with the performance of the underlying assets with the result that investors in that Class will not gain if the Class currency falls against the Base Currency and/or the currency</w:t>
      </w:r>
      <w:r>
        <w:t>/currencies</w:t>
      </w:r>
      <w:r w:rsidRPr="00132657">
        <w:t xml:space="preserve"> in which the assets of the Sub-Fund are denominated.</w:t>
      </w:r>
    </w:p>
    <w:p w:rsidRPr="00132657" w:rsidR="00987029" w:rsidP="007475C0" w:rsidRDefault="00987029" w14:paraId="13C76DE0" w14:textId="7A09AF84">
      <w:pPr>
        <w:pStyle w:val="ssPara"/>
      </w:pPr>
      <w:r w:rsidRPr="00132657">
        <w:t xml:space="preserve">The Sub-Fund may incur transaction costs in respect of </w:t>
      </w:r>
      <w:proofErr w:type="gramStart"/>
      <w:r w:rsidRPr="00132657">
        <w:t>entering into</w:t>
      </w:r>
      <w:proofErr w:type="gramEnd"/>
      <w:r w:rsidRPr="00132657">
        <w:t xml:space="preserve"> any currency hedging. Any costs and gains/losses of the hedging transactions </w:t>
      </w:r>
      <w:r w:rsidR="00CF5F01">
        <w:t xml:space="preserve">will </w:t>
      </w:r>
      <w:r w:rsidRPr="00132657">
        <w:t>accrue solely to the relevant Class.</w:t>
      </w:r>
    </w:p>
    <w:p w:rsidRPr="00132657" w:rsidR="00987029" w:rsidP="007475C0" w:rsidRDefault="00987029" w14:paraId="64CEF05B" w14:textId="1DDABA1C">
      <w:pPr>
        <w:pStyle w:val="ssPara"/>
        <w:rPr>
          <w:u w:val="single"/>
        </w:rPr>
      </w:pPr>
      <w:r w:rsidRPr="00132657">
        <w:rPr>
          <w:u w:val="single"/>
        </w:rPr>
        <w:t>Intra-Day Portfolio Value (</w:t>
      </w:r>
      <w:r w:rsidR="002A0300">
        <w:rPr>
          <w:u w:val="single"/>
        </w:rPr>
        <w:t>“</w:t>
      </w:r>
      <w:proofErr w:type="spellStart"/>
      <w:r w:rsidRPr="00132657">
        <w:rPr>
          <w:u w:val="single"/>
        </w:rPr>
        <w:t>iNAV</w:t>
      </w:r>
      <w:proofErr w:type="spellEnd"/>
      <w:r w:rsidR="002A0300">
        <w:rPr>
          <w:u w:val="single"/>
        </w:rPr>
        <w:t>”</w:t>
      </w:r>
      <w:r w:rsidRPr="00132657">
        <w:rPr>
          <w:u w:val="single"/>
        </w:rPr>
        <w:t>)</w:t>
      </w:r>
    </w:p>
    <w:p w:rsidRPr="00132657" w:rsidR="00987029" w:rsidP="007475C0" w:rsidRDefault="00987029" w14:paraId="63A0DA08" w14:textId="31B4F039">
      <w:pPr>
        <w:pStyle w:val="ssPara"/>
      </w:pPr>
      <w:r w:rsidRPr="00132657">
        <w:t xml:space="preserve">The </w:t>
      </w:r>
      <w:r>
        <w:t>Fund</w:t>
      </w:r>
      <w:r w:rsidRPr="00132657">
        <w:t xml:space="preserve"> will make available an </w:t>
      </w:r>
      <w:proofErr w:type="spellStart"/>
      <w:r w:rsidRPr="00132657">
        <w:t>iNAV</w:t>
      </w:r>
      <w:proofErr w:type="spellEnd"/>
      <w:r w:rsidRPr="00132657">
        <w:t xml:space="preserve"> if this is required by any </w:t>
      </w:r>
      <w:r>
        <w:t>Listing Stock Exchange</w:t>
      </w:r>
      <w:r w:rsidRPr="00132657">
        <w:t xml:space="preserve">. In such circumstances, the </w:t>
      </w:r>
      <w:r>
        <w:t>Fund</w:t>
      </w:r>
      <w:r w:rsidRPr="00132657">
        <w:t xml:space="preserve"> will make </w:t>
      </w:r>
      <w:proofErr w:type="gramStart"/>
      <w:r w:rsidRPr="00132657">
        <w:t>available</w:t>
      </w:r>
      <w:r>
        <w:t>,</w:t>
      </w:r>
      <w:r w:rsidRPr="00132657">
        <w:t xml:space="preserve"> or</w:t>
      </w:r>
      <w:proofErr w:type="gramEnd"/>
      <w:r w:rsidRPr="00132657">
        <w:t xml:space="preserve"> may designate other persons to make available on its behalf, on each Business Day (save in periods of market disruption), an intra-day portfolio value or </w:t>
      </w:r>
      <w:r w:rsidR="002A0300">
        <w:t>“</w:t>
      </w:r>
      <w:proofErr w:type="spellStart"/>
      <w:r w:rsidRPr="00132657">
        <w:t>iNAV</w:t>
      </w:r>
      <w:proofErr w:type="spellEnd"/>
      <w:r w:rsidR="002A0300">
        <w:t>”</w:t>
      </w:r>
      <w:r w:rsidRPr="00132657">
        <w:t xml:space="preserve"> for the Sub-Fund. The </w:t>
      </w:r>
      <w:proofErr w:type="spellStart"/>
      <w:r w:rsidRPr="00132657">
        <w:t>iNAV</w:t>
      </w:r>
      <w:proofErr w:type="spellEnd"/>
      <w:r w:rsidRPr="00132657">
        <w:t xml:space="preserve"> will be calculated based upon information available during the trading day or any portion of the trading day, and will ordinarily be based upon the current value of the assets/exposures of the Sub-Fund in effect on such Business Day, together with any cash amount in the Sub-Fund as at the previous Business Day and will be published on a real-time basis for each currency traded on Bloomberg</w:t>
      </w:r>
      <w:r>
        <w:t xml:space="preserve"> </w:t>
      </w:r>
      <w:r w:rsidRPr="00132657">
        <w:t xml:space="preserve">(relevant codes for which will be available on </w:t>
      </w:r>
      <w:hyperlink w:history="1" r:id="rId11">
        <w:r w:rsidRPr="00B21E35" w:rsidR="00C9683F">
          <w:rPr>
            <w:rStyle w:val="Hyperlink"/>
          </w:rPr>
          <w:t>www.connectetfs.com</w:t>
        </w:r>
      </w:hyperlink>
      <w:r w:rsidRPr="00132657">
        <w:t>)</w:t>
      </w:r>
      <w:r>
        <w:t xml:space="preserve"> and/or the relevant Listing Stock Exchange(s)</w:t>
      </w:r>
      <w:r w:rsidRPr="00132657">
        <w:t>.</w:t>
      </w:r>
      <w:r>
        <w:t xml:space="preserve"> </w:t>
      </w:r>
      <w:r w:rsidR="00C9683F">
        <w:t xml:space="preserve"> </w:t>
      </w:r>
      <w:r w:rsidR="00945B4F">
        <w:t xml:space="preserve">The </w:t>
      </w:r>
      <w:proofErr w:type="spellStart"/>
      <w:r w:rsidR="00945B4F">
        <w:t>iNAV</w:t>
      </w:r>
      <w:proofErr w:type="spellEnd"/>
      <w:r w:rsidR="00945B4F">
        <w:t xml:space="preserve"> will be made available to any Authorised Participant. </w:t>
      </w:r>
    </w:p>
    <w:p w:rsidR="007A125D" w:rsidP="007475C0" w:rsidRDefault="00987029" w14:paraId="5C083830" w14:textId="77777777">
      <w:pPr>
        <w:pStyle w:val="ssPara"/>
      </w:pPr>
      <w:r w:rsidRPr="00132657">
        <w:t xml:space="preserve">An </w:t>
      </w:r>
      <w:proofErr w:type="spellStart"/>
      <w:r w:rsidRPr="00132657">
        <w:t>iNAV</w:t>
      </w:r>
      <w:proofErr w:type="spellEnd"/>
      <w:r w:rsidRPr="00132657">
        <w:t xml:space="preserve"> is </w:t>
      </w:r>
      <w:proofErr w:type="gramStart"/>
      <w:r w:rsidRPr="00132657">
        <w:t>not, and</w:t>
      </w:r>
      <w:proofErr w:type="gramEnd"/>
      <w:r w:rsidRPr="00132657">
        <w:t xml:space="preserve"> should not be taken to be or relied on as being, the value of a Share or the price at which Shares may be subscribed for or redeemed or purchased or sold on any </w:t>
      </w:r>
      <w:r>
        <w:t>Listing</w:t>
      </w:r>
      <w:r w:rsidRPr="00132657">
        <w:t xml:space="preserve"> Stock Exchange. </w:t>
      </w:r>
      <w:proofErr w:type="gramStart"/>
      <w:r w:rsidRPr="00132657">
        <w:t>In particular, any</w:t>
      </w:r>
      <w:proofErr w:type="gramEnd"/>
      <w:r w:rsidRPr="00132657">
        <w:t xml:space="preserve"> </w:t>
      </w:r>
      <w:proofErr w:type="spellStart"/>
      <w:r w:rsidRPr="00132657">
        <w:t>iNAV</w:t>
      </w:r>
      <w:proofErr w:type="spellEnd"/>
      <w:r w:rsidRPr="00132657">
        <w:t xml:space="preserve"> provided for any Sub-Fund where the </w:t>
      </w:r>
      <w:r>
        <w:t xml:space="preserve">investments held by the Sub-Fund </w:t>
      </w:r>
      <w:r w:rsidRPr="00132657">
        <w:t xml:space="preserve">are not actively traded during the time of publication of such </w:t>
      </w:r>
      <w:proofErr w:type="spellStart"/>
      <w:r w:rsidRPr="00132657">
        <w:t>iNAV</w:t>
      </w:r>
      <w:proofErr w:type="spellEnd"/>
      <w:r w:rsidRPr="00132657">
        <w:t xml:space="preserve"> may not reflect the true value of a Share, may be misleading and should not be relied on. The inability of the Fund or its designee to provide an </w:t>
      </w:r>
      <w:proofErr w:type="spellStart"/>
      <w:r w:rsidRPr="00132657">
        <w:t>iNAV</w:t>
      </w:r>
      <w:proofErr w:type="spellEnd"/>
      <w:r w:rsidRPr="00132657">
        <w:t xml:space="preserve">, on a real-time basis, or for any </w:t>
      </w:r>
      <w:proofErr w:type="gramStart"/>
      <w:r w:rsidRPr="00132657">
        <w:t>period of time</w:t>
      </w:r>
      <w:proofErr w:type="gramEnd"/>
      <w:r w:rsidRPr="00132657">
        <w:t xml:space="preserve">, will not in itself result in a halt in the trading of the Shares on a </w:t>
      </w:r>
      <w:r>
        <w:t>Listing</w:t>
      </w:r>
      <w:r w:rsidRPr="00132657">
        <w:t xml:space="preserve"> Stock Exchange, which will be determined by the rules of the </w:t>
      </w:r>
      <w:r>
        <w:t>Listing</w:t>
      </w:r>
      <w:r w:rsidRPr="00132657">
        <w:t xml:space="preserve"> Stock Exchange in the circumstances. Investors should be aware that the calculation and reporting of any </w:t>
      </w:r>
      <w:proofErr w:type="spellStart"/>
      <w:r w:rsidRPr="00132657">
        <w:t>iNAV</w:t>
      </w:r>
      <w:proofErr w:type="spellEnd"/>
      <w:r w:rsidRPr="00132657">
        <w:t xml:space="preserve"> may reflect time delays in the receipt of the relevant constituent securities prices in comparison to other calculated values based upon the same constituent securities including, for example, the </w:t>
      </w:r>
      <w:proofErr w:type="spellStart"/>
      <w:r w:rsidRPr="00132657">
        <w:t>iNAV</w:t>
      </w:r>
      <w:proofErr w:type="spellEnd"/>
      <w:r w:rsidRPr="00132657">
        <w:t xml:space="preserve"> of other exchange traded funds</w:t>
      </w:r>
      <w:r>
        <w:t xml:space="preserve"> holding the same investments (if any)</w:t>
      </w:r>
      <w:r w:rsidRPr="00132657">
        <w:t xml:space="preserve">. Investors interested in subscribing for or redeeming Shares on a </w:t>
      </w:r>
      <w:r>
        <w:t>Listing</w:t>
      </w:r>
      <w:r w:rsidRPr="00132657">
        <w:t xml:space="preserve"> Stock Exchange should not rely solely on </w:t>
      </w:r>
      <w:r>
        <w:t xml:space="preserve">an </w:t>
      </w:r>
      <w:proofErr w:type="spellStart"/>
      <w:r w:rsidRPr="00132657">
        <w:t>iNAV</w:t>
      </w:r>
      <w:proofErr w:type="spellEnd"/>
      <w:r w:rsidRPr="00132657">
        <w:t xml:space="preserve"> which is made available in making investment </w:t>
      </w:r>
      <w:proofErr w:type="gramStart"/>
      <w:r w:rsidRPr="00132657">
        <w:t>decisions, but</w:t>
      </w:r>
      <w:proofErr w:type="gramEnd"/>
      <w:r w:rsidRPr="00132657">
        <w:t xml:space="preserve"> should also consider other market information and relevant economic and other factors (including, where relevant, information regarding the </w:t>
      </w:r>
      <w:r>
        <w:t>investments held by</w:t>
      </w:r>
      <w:r w:rsidRPr="00132657">
        <w:t xml:space="preserve"> the relevant Sub-Fund). None of the Fund, the Directors, the Manager, the Directors of the Manager, </w:t>
      </w:r>
      <w:r w:rsidR="00AF53FE">
        <w:t>the</w:t>
      </w:r>
      <w:r w:rsidRPr="00132657" w:rsidR="00AF53FE">
        <w:t xml:space="preserve"> </w:t>
      </w:r>
      <w:r w:rsidRPr="00132657">
        <w:t xml:space="preserve">Investment Manager, the Depositary, the Administrator, any Authorised Participant and the other service providers shall be liable to any person who relies on the </w:t>
      </w:r>
      <w:proofErr w:type="spellStart"/>
      <w:r w:rsidRPr="00132657">
        <w:t>iNAV</w:t>
      </w:r>
      <w:proofErr w:type="spellEnd"/>
      <w:r w:rsidRPr="00132657">
        <w:t>.</w:t>
      </w:r>
    </w:p>
    <w:p w:rsidRPr="00132657" w:rsidR="00987029" w:rsidP="009E141E" w:rsidRDefault="007A125D" w14:paraId="25E9EFD1" w14:textId="41B04DDA">
      <w:pPr>
        <w:pStyle w:val="ssPara"/>
      </w:pPr>
      <w:r>
        <w:t xml:space="preserve">The </w:t>
      </w:r>
      <w:r w:rsidR="00B55263">
        <w:t xml:space="preserve">portfolio holdings of the Sub-Fund are disclosed monthly at </w:t>
      </w:r>
      <w:hyperlink w:history="1" r:id="rId12">
        <w:r w:rsidRPr="00D96E54" w:rsidR="00B55263">
          <w:rPr>
            <w:rStyle w:val="Hyperlink"/>
          </w:rPr>
          <w:t>https://connectetfs.com/documents</w:t>
        </w:r>
      </w:hyperlink>
      <w:r w:rsidR="00B55263">
        <w:t>, under the Portfolio tab, within 30 business days of the end of the month. Shareholders can request information on the portfolio holdings of the Sub-Fund from the Investment Manager or the Fund. The Fund has documented policies and procedures in place to provide for circumstances where there is an inability to effectively price the Sub-Fund.</w:t>
      </w:r>
      <w:r w:rsidRPr="00132657" w:rsidR="00987029">
        <w:br w:type="page"/>
      </w:r>
    </w:p>
    <w:p w:rsidRPr="00132657" w:rsidR="00987029" w:rsidP="007475C0" w:rsidRDefault="00987029" w14:paraId="67BFF296" w14:textId="77777777">
      <w:pPr>
        <w:pStyle w:val="Heading1"/>
      </w:pPr>
      <w:bookmarkStart w:name="_Toc160050447" w:id="36"/>
      <w:bookmarkStart w:name="_Toc256000002" w:id="37"/>
      <w:bookmarkStart w:name="_Toc35528045" w:id="38"/>
      <w:r w:rsidRPr="00132657">
        <w:lastRenderedPageBreak/>
        <w:t>SHARE CLASSES</w:t>
      </w:r>
      <w:bookmarkStart w:name="_Hlk51698572" w:id="39"/>
      <w:bookmarkEnd w:id="36"/>
    </w:p>
    <w:p w:rsidRPr="00132657" w:rsidR="00987029" w:rsidP="007475C0" w:rsidRDefault="00987029" w14:paraId="49CA618C" w14:textId="77777777">
      <w:pPr>
        <w:pStyle w:val="ssPara"/>
      </w:pPr>
      <w:r w:rsidRPr="00132657">
        <w:rPr>
          <w:rFonts w:cs="Arial"/>
        </w:rPr>
        <w:t>The following Classes of Shares are available in the Sub-Fund:</w:t>
      </w:r>
      <w:bookmarkEnd w:id="39"/>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6"/>
        <w:gridCol w:w="852"/>
        <w:gridCol w:w="1415"/>
        <w:gridCol w:w="1562"/>
        <w:gridCol w:w="1417"/>
        <w:gridCol w:w="1842"/>
        <w:gridCol w:w="1383"/>
      </w:tblGrid>
      <w:tr w:rsidRPr="007475C0" w:rsidR="007363C9" w:rsidTr="002A0300" w14:paraId="6DABD69B" w14:textId="77777777">
        <w:trPr>
          <w:trHeight w:val="585"/>
        </w:trPr>
        <w:tc>
          <w:tcPr>
            <w:tcW w:w="834" w:type="pct"/>
            <w:tcBorders>
              <w:top w:val="single" w:color="auto" w:sz="4" w:space="0"/>
              <w:left w:val="single" w:color="auto" w:sz="4" w:space="0"/>
              <w:bottom w:val="single" w:color="auto" w:sz="4" w:space="0"/>
              <w:right w:val="single" w:color="auto" w:sz="4" w:space="0"/>
            </w:tcBorders>
            <w:noWrap/>
            <w:hideMark/>
          </w:tcPr>
          <w:p w:rsidRPr="007475C0" w:rsidR="007363C9" w:rsidP="007475C0" w:rsidRDefault="007363C9" w14:paraId="740D17C4" w14:textId="77777777">
            <w:pPr>
              <w:pStyle w:val="ssPara"/>
              <w:rPr>
                <w:sz w:val="21"/>
                <w:szCs w:val="21"/>
              </w:rPr>
            </w:pPr>
            <w:r w:rsidRPr="007475C0">
              <w:rPr>
                <w:rFonts w:cs="Arial"/>
                <w:b/>
                <w:bCs/>
                <w:sz w:val="21"/>
                <w:szCs w:val="21"/>
              </w:rPr>
              <w:t>Class</w:t>
            </w:r>
          </w:p>
        </w:tc>
        <w:tc>
          <w:tcPr>
            <w:tcW w:w="419"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3555A73A" w14:textId="77777777">
            <w:pPr>
              <w:pStyle w:val="ssPara"/>
              <w:rPr>
                <w:sz w:val="21"/>
                <w:szCs w:val="21"/>
              </w:rPr>
            </w:pPr>
            <w:r w:rsidRPr="007475C0">
              <w:rPr>
                <w:rFonts w:cs="Arial"/>
                <w:b/>
                <w:bCs/>
                <w:sz w:val="21"/>
                <w:szCs w:val="21"/>
              </w:rPr>
              <w:t>Initial Offer Price</w:t>
            </w:r>
          </w:p>
        </w:tc>
        <w:tc>
          <w:tcPr>
            <w:tcW w:w="696" w:type="pct"/>
            <w:tcBorders>
              <w:top w:val="single" w:color="auto" w:sz="4" w:space="0"/>
              <w:left w:val="single" w:color="auto" w:sz="4" w:space="0"/>
              <w:bottom w:val="single" w:color="auto" w:sz="4" w:space="0"/>
              <w:right w:val="single" w:color="auto" w:sz="4" w:space="0"/>
            </w:tcBorders>
            <w:hideMark/>
          </w:tcPr>
          <w:p w:rsidRPr="007475C0" w:rsidR="007363C9" w:rsidP="007475C0" w:rsidRDefault="007363C9" w14:paraId="31FD1AA3" w14:textId="77777777">
            <w:pPr>
              <w:pStyle w:val="ssPara"/>
              <w:rPr>
                <w:sz w:val="21"/>
                <w:szCs w:val="21"/>
              </w:rPr>
            </w:pPr>
            <w:r w:rsidRPr="007475C0">
              <w:rPr>
                <w:rFonts w:cs="Arial"/>
                <w:b/>
                <w:bCs/>
                <w:sz w:val="21"/>
                <w:szCs w:val="21"/>
              </w:rPr>
              <w:t>Minimum Initial Investment</w:t>
            </w:r>
          </w:p>
        </w:tc>
        <w:tc>
          <w:tcPr>
            <w:tcW w:w="768"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55F3AC64" w14:textId="77777777">
            <w:pPr>
              <w:pStyle w:val="ssPara"/>
              <w:rPr>
                <w:sz w:val="21"/>
                <w:szCs w:val="21"/>
              </w:rPr>
            </w:pPr>
            <w:r w:rsidRPr="007475C0">
              <w:rPr>
                <w:rFonts w:cs="Arial"/>
                <w:b/>
                <w:bCs/>
                <w:sz w:val="21"/>
                <w:szCs w:val="21"/>
              </w:rPr>
              <w:t>Minimum Additional Subscription</w:t>
            </w:r>
          </w:p>
        </w:tc>
        <w:tc>
          <w:tcPr>
            <w:tcW w:w="697"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0029559E" w14:textId="77777777">
            <w:pPr>
              <w:pStyle w:val="ssPara"/>
              <w:rPr>
                <w:sz w:val="21"/>
                <w:szCs w:val="21"/>
              </w:rPr>
            </w:pPr>
            <w:r w:rsidRPr="007475C0">
              <w:rPr>
                <w:rFonts w:cs="Arial"/>
                <w:b/>
                <w:bCs/>
                <w:sz w:val="21"/>
                <w:szCs w:val="21"/>
              </w:rPr>
              <w:t>Minimum Holding</w:t>
            </w:r>
          </w:p>
        </w:tc>
        <w:tc>
          <w:tcPr>
            <w:tcW w:w="906"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7B0D9AE1" w14:textId="5F94213B">
            <w:pPr>
              <w:pStyle w:val="ssPara"/>
              <w:rPr>
                <w:sz w:val="21"/>
                <w:szCs w:val="21"/>
              </w:rPr>
            </w:pPr>
            <w:r w:rsidRPr="007475C0">
              <w:rPr>
                <w:rFonts w:cs="Arial"/>
                <w:b/>
                <w:bCs/>
                <w:sz w:val="21"/>
                <w:szCs w:val="21"/>
              </w:rPr>
              <w:t>Minimum Redemption</w:t>
            </w:r>
          </w:p>
        </w:tc>
        <w:tc>
          <w:tcPr>
            <w:tcW w:w="680"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4CC64758" w14:textId="2C881154">
            <w:pPr>
              <w:pStyle w:val="ssPara"/>
              <w:rPr>
                <w:sz w:val="21"/>
                <w:szCs w:val="21"/>
              </w:rPr>
            </w:pPr>
            <w:r w:rsidRPr="007475C0">
              <w:rPr>
                <w:rFonts w:cs="Arial"/>
                <w:b/>
                <w:bCs/>
                <w:sz w:val="21"/>
                <w:szCs w:val="21"/>
              </w:rPr>
              <w:t>Dividend Policy</w:t>
            </w:r>
          </w:p>
        </w:tc>
      </w:tr>
      <w:tr w:rsidRPr="007475C0" w:rsidR="007363C9" w:rsidTr="002A0300" w14:paraId="61F68495" w14:textId="77777777">
        <w:trPr>
          <w:trHeight w:val="585"/>
        </w:trPr>
        <w:tc>
          <w:tcPr>
            <w:tcW w:w="834" w:type="pct"/>
            <w:tcBorders>
              <w:top w:val="single" w:color="auto" w:sz="4" w:space="0"/>
              <w:left w:val="single" w:color="auto" w:sz="4" w:space="0"/>
              <w:bottom w:val="single" w:color="auto" w:sz="4" w:space="0"/>
              <w:right w:val="single" w:color="auto" w:sz="4" w:space="0"/>
            </w:tcBorders>
            <w:noWrap/>
          </w:tcPr>
          <w:p w:rsidRPr="007475C0" w:rsidR="007363C9" w:rsidP="007475C0" w:rsidRDefault="007363C9" w14:paraId="7454E627" w14:textId="1231945E">
            <w:pPr>
              <w:pStyle w:val="ssPara"/>
              <w:rPr>
                <w:sz w:val="21"/>
                <w:szCs w:val="21"/>
              </w:rPr>
            </w:pPr>
          </w:p>
        </w:tc>
        <w:tc>
          <w:tcPr>
            <w:tcW w:w="419"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780E4B18" w14:textId="1315A0F5">
            <w:pPr>
              <w:pStyle w:val="ssPara"/>
              <w:rPr>
                <w:sz w:val="21"/>
                <w:szCs w:val="21"/>
              </w:rPr>
            </w:pPr>
          </w:p>
        </w:tc>
        <w:tc>
          <w:tcPr>
            <w:tcW w:w="696"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5763CB55" w14:textId="3FCCA36E">
            <w:pPr>
              <w:pStyle w:val="ssPara"/>
              <w:rPr>
                <w:sz w:val="21"/>
                <w:szCs w:val="21"/>
              </w:rPr>
            </w:pPr>
          </w:p>
        </w:tc>
        <w:tc>
          <w:tcPr>
            <w:tcW w:w="768"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2A7C6036" w14:textId="28A6974B">
            <w:pPr>
              <w:pStyle w:val="ssPara"/>
              <w:rPr>
                <w:sz w:val="21"/>
                <w:szCs w:val="21"/>
              </w:rPr>
            </w:pPr>
          </w:p>
        </w:tc>
        <w:tc>
          <w:tcPr>
            <w:tcW w:w="697"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0083B36A" w14:textId="1A06D40B">
            <w:pPr>
              <w:pStyle w:val="ssPara"/>
              <w:rPr>
                <w:sz w:val="21"/>
                <w:szCs w:val="21"/>
              </w:rPr>
            </w:pPr>
          </w:p>
        </w:tc>
        <w:tc>
          <w:tcPr>
            <w:tcW w:w="906"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7782A201" w14:textId="13015B87">
            <w:pPr>
              <w:pStyle w:val="ssPara"/>
              <w:rPr>
                <w:sz w:val="21"/>
                <w:szCs w:val="21"/>
              </w:rPr>
            </w:pPr>
          </w:p>
        </w:tc>
        <w:tc>
          <w:tcPr>
            <w:tcW w:w="680"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57869B09" w14:textId="3620FFFE">
            <w:pPr>
              <w:pStyle w:val="ssPara"/>
              <w:rPr>
                <w:sz w:val="21"/>
                <w:szCs w:val="21"/>
              </w:rPr>
            </w:pPr>
          </w:p>
        </w:tc>
      </w:tr>
      <w:tr w:rsidRPr="007475C0" w:rsidR="009960BA" w:rsidTr="002A0300" w14:paraId="0643C29C" w14:textId="77777777">
        <w:trPr>
          <w:trHeight w:val="585"/>
        </w:trPr>
        <w:tc>
          <w:tcPr>
            <w:tcW w:w="834" w:type="pct"/>
            <w:tcBorders>
              <w:top w:val="single" w:color="auto" w:sz="4" w:space="0"/>
              <w:left w:val="single" w:color="auto" w:sz="4" w:space="0"/>
              <w:bottom w:val="single" w:color="auto" w:sz="4" w:space="0"/>
              <w:right w:val="single" w:color="auto" w:sz="4" w:space="0"/>
            </w:tcBorders>
            <w:noWrap/>
          </w:tcPr>
          <w:p w:rsidR="009960BA" w:rsidP="009960BA" w:rsidRDefault="009960BA" w14:paraId="370E539B" w14:textId="4C22A9BE">
            <w:pPr>
              <w:pStyle w:val="ssPara"/>
              <w:numPr>
                <w:ilvl w:val="0"/>
                <w:numId w:val="84"/>
              </w:numPr>
              <w:spacing w:after="0"/>
              <w:rPr>
                <w:rFonts w:cs="Arial"/>
                <w:sz w:val="21"/>
                <w:szCs w:val="21"/>
              </w:rPr>
            </w:pPr>
            <w:r>
              <w:rPr>
                <w:rFonts w:cs="Arial"/>
                <w:sz w:val="21"/>
                <w:szCs w:val="21"/>
              </w:rPr>
              <w:t>Class A1 USD</w:t>
            </w:r>
          </w:p>
          <w:p w:rsidRPr="007475C0" w:rsidR="009960BA" w:rsidP="009960BA" w:rsidRDefault="001A3499" w14:paraId="0D78EB75" w14:textId="591A7F64">
            <w:pPr>
              <w:pStyle w:val="ssPara"/>
              <w:rPr>
                <w:rFonts w:cs="Arial"/>
                <w:sz w:val="21"/>
                <w:szCs w:val="21"/>
              </w:rPr>
            </w:pPr>
            <w:r>
              <w:rPr>
                <w:rFonts w:cs="Arial"/>
                <w:sz w:val="21"/>
                <w:szCs w:val="21"/>
              </w:rPr>
              <w:t xml:space="preserve">Accumulating </w:t>
            </w:r>
            <w:r w:rsidR="009960BA">
              <w:rPr>
                <w:rFonts w:cs="Arial"/>
                <w:sz w:val="21"/>
                <w:szCs w:val="21"/>
              </w:rPr>
              <w:t>(listed)</w:t>
            </w:r>
          </w:p>
        </w:tc>
        <w:tc>
          <w:tcPr>
            <w:tcW w:w="419" w:type="pct"/>
            <w:tcBorders>
              <w:top w:val="single" w:color="auto" w:sz="4" w:space="0"/>
              <w:left w:val="single" w:color="auto" w:sz="4" w:space="0"/>
              <w:bottom w:val="single" w:color="auto" w:sz="4" w:space="0"/>
              <w:right w:val="single" w:color="auto" w:sz="4" w:space="0"/>
            </w:tcBorders>
          </w:tcPr>
          <w:p w:rsidR="009960BA" w:rsidP="009960BA" w:rsidRDefault="009960BA" w14:paraId="0CD150CC" w14:textId="77777777">
            <w:pPr>
              <w:pStyle w:val="ssPara"/>
              <w:numPr>
                <w:ilvl w:val="0"/>
                <w:numId w:val="84"/>
              </w:numPr>
              <w:spacing w:after="0"/>
              <w:rPr>
                <w:rFonts w:cs="Arial"/>
                <w:sz w:val="21"/>
                <w:szCs w:val="21"/>
              </w:rPr>
            </w:pPr>
            <w:r>
              <w:rPr>
                <w:rFonts w:cs="Arial"/>
                <w:sz w:val="21"/>
                <w:szCs w:val="21"/>
              </w:rPr>
              <w:t>USD</w:t>
            </w:r>
          </w:p>
          <w:p w:rsidRPr="007475C0" w:rsidR="009960BA" w:rsidP="009960BA" w:rsidRDefault="009960BA" w14:paraId="72EDAE4F" w14:textId="55156C4A">
            <w:pPr>
              <w:pStyle w:val="ssPara"/>
              <w:rPr>
                <w:rFonts w:cs="Arial"/>
                <w:sz w:val="21"/>
                <w:szCs w:val="21"/>
              </w:rPr>
            </w:pPr>
            <w:r>
              <w:rPr>
                <w:rFonts w:cs="Arial"/>
                <w:sz w:val="21"/>
                <w:szCs w:val="21"/>
              </w:rPr>
              <w:t>100</w:t>
            </w:r>
          </w:p>
        </w:tc>
        <w:tc>
          <w:tcPr>
            <w:tcW w:w="696" w:type="pct"/>
            <w:tcBorders>
              <w:top w:val="single" w:color="auto" w:sz="4" w:space="0"/>
              <w:left w:val="single" w:color="auto" w:sz="4" w:space="0"/>
              <w:bottom w:val="single" w:color="auto" w:sz="4" w:space="0"/>
              <w:right w:val="single" w:color="auto" w:sz="4" w:space="0"/>
            </w:tcBorders>
          </w:tcPr>
          <w:p w:rsidRPr="007475C0" w:rsidR="009960BA" w:rsidP="009960BA" w:rsidRDefault="009960BA" w14:paraId="2344FF7E" w14:textId="31E825FB">
            <w:pPr>
              <w:pStyle w:val="ssPara"/>
              <w:rPr>
                <w:rFonts w:cs="Arial"/>
                <w:sz w:val="21"/>
                <w:szCs w:val="21"/>
              </w:rPr>
            </w:pPr>
            <w:r>
              <w:rPr>
                <w:rFonts w:cs="Arial"/>
                <w:sz w:val="21"/>
                <w:szCs w:val="21"/>
              </w:rPr>
              <w:t>1,000,000</w:t>
            </w:r>
          </w:p>
        </w:tc>
        <w:tc>
          <w:tcPr>
            <w:tcW w:w="768" w:type="pct"/>
            <w:tcBorders>
              <w:top w:val="single" w:color="auto" w:sz="4" w:space="0"/>
              <w:left w:val="single" w:color="auto" w:sz="4" w:space="0"/>
              <w:bottom w:val="single" w:color="auto" w:sz="4" w:space="0"/>
              <w:right w:val="single" w:color="auto" w:sz="4" w:space="0"/>
            </w:tcBorders>
          </w:tcPr>
          <w:p w:rsidRPr="007475C0" w:rsidR="009960BA" w:rsidP="009960BA" w:rsidRDefault="009960BA" w14:paraId="290A42BE" w14:textId="1B490099">
            <w:pPr>
              <w:pStyle w:val="ssPara"/>
              <w:rPr>
                <w:rFonts w:cs="Arial"/>
                <w:sz w:val="21"/>
                <w:szCs w:val="21"/>
              </w:rPr>
            </w:pPr>
            <w:r>
              <w:rPr>
                <w:rFonts w:cs="Arial"/>
                <w:sz w:val="21"/>
                <w:szCs w:val="21"/>
              </w:rPr>
              <w:t>N/A</w:t>
            </w:r>
          </w:p>
        </w:tc>
        <w:tc>
          <w:tcPr>
            <w:tcW w:w="697" w:type="pct"/>
            <w:tcBorders>
              <w:top w:val="single" w:color="auto" w:sz="4" w:space="0"/>
              <w:left w:val="single" w:color="auto" w:sz="4" w:space="0"/>
              <w:bottom w:val="single" w:color="auto" w:sz="4" w:space="0"/>
              <w:right w:val="single" w:color="auto" w:sz="4" w:space="0"/>
            </w:tcBorders>
          </w:tcPr>
          <w:p w:rsidRPr="007475C0" w:rsidR="009960BA" w:rsidP="009960BA" w:rsidRDefault="009960BA" w14:paraId="09AF2ED2" w14:textId="0AC1354D">
            <w:pPr>
              <w:pStyle w:val="ssPara"/>
              <w:rPr>
                <w:rFonts w:cs="Arial"/>
                <w:sz w:val="21"/>
                <w:szCs w:val="21"/>
              </w:rPr>
            </w:pPr>
            <w:r>
              <w:rPr>
                <w:rFonts w:cs="Arial"/>
                <w:sz w:val="21"/>
                <w:szCs w:val="21"/>
              </w:rPr>
              <w:t>N/A</w:t>
            </w:r>
          </w:p>
        </w:tc>
        <w:tc>
          <w:tcPr>
            <w:tcW w:w="906" w:type="pct"/>
            <w:tcBorders>
              <w:top w:val="single" w:color="auto" w:sz="4" w:space="0"/>
              <w:left w:val="single" w:color="auto" w:sz="4" w:space="0"/>
              <w:bottom w:val="single" w:color="auto" w:sz="4" w:space="0"/>
              <w:right w:val="single" w:color="auto" w:sz="4" w:space="0"/>
            </w:tcBorders>
          </w:tcPr>
          <w:p w:rsidRPr="007475C0" w:rsidR="009960BA" w:rsidP="009960BA" w:rsidRDefault="009960BA" w14:paraId="20A3DFD2" w14:textId="01DABF0F">
            <w:pPr>
              <w:pStyle w:val="ssPara"/>
              <w:rPr>
                <w:rFonts w:cs="Arial"/>
                <w:sz w:val="21"/>
                <w:szCs w:val="21"/>
              </w:rPr>
            </w:pPr>
            <w:r>
              <w:rPr>
                <w:rFonts w:cs="Arial"/>
                <w:sz w:val="21"/>
                <w:szCs w:val="21"/>
              </w:rPr>
              <w:t>1,000,000</w:t>
            </w:r>
          </w:p>
        </w:tc>
        <w:tc>
          <w:tcPr>
            <w:tcW w:w="680" w:type="pct"/>
            <w:tcBorders>
              <w:top w:val="single" w:color="auto" w:sz="4" w:space="0"/>
              <w:left w:val="single" w:color="auto" w:sz="4" w:space="0"/>
              <w:bottom w:val="single" w:color="auto" w:sz="4" w:space="0"/>
              <w:right w:val="single" w:color="auto" w:sz="4" w:space="0"/>
            </w:tcBorders>
          </w:tcPr>
          <w:p w:rsidRPr="007475C0" w:rsidR="009960BA" w:rsidP="009960BA" w:rsidRDefault="009960BA" w14:paraId="49CE313D" w14:textId="3FF38986">
            <w:pPr>
              <w:pStyle w:val="ssPara"/>
              <w:rPr>
                <w:rFonts w:cs="Arial"/>
                <w:sz w:val="21"/>
                <w:szCs w:val="21"/>
              </w:rPr>
            </w:pPr>
            <w:r>
              <w:rPr>
                <w:rFonts w:cs="Arial"/>
                <w:sz w:val="21"/>
                <w:szCs w:val="21"/>
              </w:rPr>
              <w:t>Accumulating</w:t>
            </w:r>
          </w:p>
        </w:tc>
      </w:tr>
      <w:tr w:rsidRPr="007475C0" w:rsidR="007363C9" w:rsidTr="002A0300" w14:paraId="3BBB9FDF" w14:textId="77777777">
        <w:trPr>
          <w:trHeight w:val="300"/>
        </w:trPr>
        <w:tc>
          <w:tcPr>
            <w:tcW w:w="834" w:type="pct"/>
            <w:tcBorders>
              <w:top w:val="single" w:color="auto" w:sz="4" w:space="0"/>
              <w:left w:val="single" w:color="auto" w:sz="4" w:space="0"/>
              <w:bottom w:val="single" w:color="auto" w:sz="4" w:space="0"/>
              <w:right w:val="single" w:color="auto" w:sz="4" w:space="0"/>
            </w:tcBorders>
            <w:noWrap/>
            <w:hideMark/>
          </w:tcPr>
          <w:p w:rsidRPr="007475C0" w:rsidR="007363C9" w:rsidP="007475C0" w:rsidRDefault="007363C9" w14:paraId="4949250A" w14:textId="6B054DBB">
            <w:pPr>
              <w:pStyle w:val="ssPara"/>
              <w:rPr>
                <w:sz w:val="21"/>
                <w:szCs w:val="21"/>
              </w:rPr>
            </w:pPr>
            <w:r w:rsidRPr="007475C0">
              <w:rPr>
                <w:rFonts w:cs="Arial"/>
                <w:sz w:val="21"/>
                <w:szCs w:val="21"/>
              </w:rPr>
              <w:t>Class A GBP Hedged</w:t>
            </w:r>
            <w:r w:rsidR="001A3499">
              <w:rPr>
                <w:rFonts w:cs="Arial"/>
                <w:sz w:val="21"/>
                <w:szCs w:val="21"/>
              </w:rPr>
              <w:t xml:space="preserve"> Distributing</w:t>
            </w:r>
            <w:r w:rsidRPr="007475C0">
              <w:rPr>
                <w:rFonts w:cs="Arial"/>
                <w:sz w:val="21"/>
                <w:szCs w:val="21"/>
              </w:rPr>
              <w:t xml:space="preserve"> (listed)</w:t>
            </w:r>
          </w:p>
        </w:tc>
        <w:tc>
          <w:tcPr>
            <w:tcW w:w="419"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161ED377" w14:textId="77777777">
            <w:pPr>
              <w:pStyle w:val="ssPara"/>
              <w:rPr>
                <w:sz w:val="21"/>
                <w:szCs w:val="21"/>
              </w:rPr>
            </w:pPr>
            <w:r w:rsidRPr="007475C0">
              <w:rPr>
                <w:rFonts w:cs="Arial"/>
                <w:sz w:val="21"/>
                <w:szCs w:val="21"/>
              </w:rPr>
              <w:t>GBP 100</w:t>
            </w:r>
          </w:p>
        </w:tc>
        <w:tc>
          <w:tcPr>
            <w:tcW w:w="696" w:type="pct"/>
            <w:tcBorders>
              <w:top w:val="single" w:color="auto" w:sz="4" w:space="0"/>
              <w:left w:val="single" w:color="auto" w:sz="4" w:space="0"/>
              <w:bottom w:val="single" w:color="auto" w:sz="4" w:space="0"/>
              <w:right w:val="single" w:color="auto" w:sz="4" w:space="0"/>
            </w:tcBorders>
            <w:noWrap/>
            <w:hideMark/>
          </w:tcPr>
          <w:p w:rsidRPr="007475C0" w:rsidR="007363C9" w:rsidP="007475C0" w:rsidRDefault="007363C9" w14:paraId="37A3461C" w14:textId="77777777">
            <w:pPr>
              <w:pStyle w:val="ssPara"/>
              <w:rPr>
                <w:sz w:val="21"/>
                <w:szCs w:val="21"/>
              </w:rPr>
            </w:pPr>
            <w:r w:rsidRPr="007475C0">
              <w:rPr>
                <w:rFonts w:cs="Arial"/>
                <w:sz w:val="21"/>
                <w:szCs w:val="21"/>
              </w:rPr>
              <w:t>1,000,000</w:t>
            </w:r>
          </w:p>
        </w:tc>
        <w:tc>
          <w:tcPr>
            <w:tcW w:w="768"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0DC57DC3" w14:textId="77777777">
            <w:pPr>
              <w:pStyle w:val="ssPara"/>
              <w:rPr>
                <w:sz w:val="21"/>
                <w:szCs w:val="21"/>
              </w:rPr>
            </w:pPr>
            <w:r w:rsidRPr="007475C0">
              <w:rPr>
                <w:rFonts w:cs="Arial"/>
                <w:sz w:val="21"/>
                <w:szCs w:val="21"/>
              </w:rPr>
              <w:t>N/A</w:t>
            </w:r>
          </w:p>
        </w:tc>
        <w:tc>
          <w:tcPr>
            <w:tcW w:w="697"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6C76504B" w14:textId="77777777">
            <w:pPr>
              <w:pStyle w:val="ssPara"/>
              <w:rPr>
                <w:sz w:val="21"/>
                <w:szCs w:val="21"/>
              </w:rPr>
            </w:pPr>
            <w:r w:rsidRPr="007475C0">
              <w:rPr>
                <w:rFonts w:cs="Arial"/>
                <w:sz w:val="21"/>
                <w:szCs w:val="21"/>
              </w:rPr>
              <w:t>N/A</w:t>
            </w:r>
          </w:p>
        </w:tc>
        <w:tc>
          <w:tcPr>
            <w:tcW w:w="906"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052C09B5" w14:textId="570619B7">
            <w:pPr>
              <w:pStyle w:val="ssPara"/>
              <w:rPr>
                <w:sz w:val="21"/>
                <w:szCs w:val="21"/>
              </w:rPr>
            </w:pPr>
            <w:r w:rsidRPr="007475C0">
              <w:rPr>
                <w:rFonts w:cs="Arial"/>
                <w:sz w:val="21"/>
                <w:szCs w:val="21"/>
              </w:rPr>
              <w:t>1,000,000</w:t>
            </w:r>
          </w:p>
        </w:tc>
        <w:tc>
          <w:tcPr>
            <w:tcW w:w="680" w:type="pct"/>
            <w:tcBorders>
              <w:top w:val="single" w:color="auto" w:sz="4" w:space="0"/>
              <w:left w:val="single" w:color="auto" w:sz="4" w:space="0"/>
              <w:bottom w:val="single" w:color="auto" w:sz="4" w:space="0"/>
              <w:right w:val="single" w:color="auto" w:sz="4" w:space="0"/>
            </w:tcBorders>
          </w:tcPr>
          <w:p w:rsidRPr="007475C0" w:rsidR="007363C9" w:rsidP="007475C0" w:rsidRDefault="007363C9" w14:paraId="11F33EC4" w14:textId="698DEF8E">
            <w:pPr>
              <w:pStyle w:val="ssPara"/>
              <w:rPr>
                <w:sz w:val="21"/>
                <w:szCs w:val="21"/>
              </w:rPr>
            </w:pPr>
            <w:r w:rsidRPr="007475C0">
              <w:rPr>
                <w:rFonts w:cs="Arial"/>
                <w:sz w:val="21"/>
                <w:szCs w:val="21"/>
              </w:rPr>
              <w:t>Distributing</w:t>
            </w:r>
          </w:p>
        </w:tc>
      </w:tr>
      <w:tr w:rsidRPr="007475C0" w:rsidR="009960BA" w:rsidTr="002A0300" w14:paraId="52BF2DFA" w14:textId="77777777">
        <w:trPr>
          <w:trHeight w:val="300"/>
        </w:trPr>
        <w:tc>
          <w:tcPr>
            <w:tcW w:w="834" w:type="pct"/>
            <w:tcBorders>
              <w:top w:val="single" w:color="auto" w:sz="4" w:space="0"/>
              <w:left w:val="single" w:color="auto" w:sz="4" w:space="0"/>
              <w:bottom w:val="single" w:color="auto" w:sz="4" w:space="0"/>
              <w:right w:val="single" w:color="auto" w:sz="4" w:space="0"/>
            </w:tcBorders>
            <w:noWrap/>
          </w:tcPr>
          <w:p w:rsidRPr="007475C0" w:rsidR="009960BA" w:rsidP="007475C0" w:rsidRDefault="009960BA" w14:paraId="62158236" w14:textId="5AFE7D7E">
            <w:pPr>
              <w:pStyle w:val="ssPara"/>
              <w:rPr>
                <w:rFonts w:cs="Arial"/>
                <w:sz w:val="21"/>
                <w:szCs w:val="21"/>
              </w:rPr>
            </w:pPr>
            <w:r>
              <w:rPr>
                <w:rFonts w:cs="Arial"/>
                <w:sz w:val="21"/>
                <w:szCs w:val="21"/>
              </w:rPr>
              <w:t>Class A1 GBP Hedged</w:t>
            </w:r>
            <w:r w:rsidR="001A3499">
              <w:rPr>
                <w:rFonts w:cs="Arial"/>
                <w:sz w:val="21"/>
                <w:szCs w:val="21"/>
              </w:rPr>
              <w:t xml:space="preserve"> </w:t>
            </w:r>
            <w:proofErr w:type="gramStart"/>
            <w:r w:rsidR="001A3499">
              <w:rPr>
                <w:rFonts w:cs="Arial"/>
                <w:sz w:val="21"/>
                <w:szCs w:val="21"/>
              </w:rPr>
              <w:t xml:space="preserve">Accumulating </w:t>
            </w:r>
            <w:r>
              <w:rPr>
                <w:rFonts w:cs="Arial"/>
                <w:sz w:val="21"/>
                <w:szCs w:val="21"/>
              </w:rPr>
              <w:t xml:space="preserve"> (</w:t>
            </w:r>
            <w:proofErr w:type="gramEnd"/>
            <w:r>
              <w:rPr>
                <w:rFonts w:cs="Arial"/>
                <w:sz w:val="21"/>
                <w:szCs w:val="21"/>
              </w:rPr>
              <w:t>listed)</w:t>
            </w:r>
          </w:p>
        </w:tc>
        <w:tc>
          <w:tcPr>
            <w:tcW w:w="419" w:type="pct"/>
            <w:tcBorders>
              <w:top w:val="single" w:color="auto" w:sz="4" w:space="0"/>
              <w:left w:val="single" w:color="auto" w:sz="4" w:space="0"/>
              <w:bottom w:val="single" w:color="auto" w:sz="4" w:space="0"/>
              <w:right w:val="single" w:color="auto" w:sz="4" w:space="0"/>
            </w:tcBorders>
          </w:tcPr>
          <w:p w:rsidRPr="007475C0" w:rsidR="009960BA" w:rsidP="007475C0" w:rsidRDefault="009960BA" w14:paraId="6E312EE7" w14:textId="7931364F">
            <w:pPr>
              <w:pStyle w:val="ssPara"/>
              <w:rPr>
                <w:rFonts w:cs="Arial"/>
                <w:sz w:val="21"/>
                <w:szCs w:val="21"/>
              </w:rPr>
            </w:pPr>
            <w:r>
              <w:rPr>
                <w:rFonts w:cs="Arial"/>
                <w:sz w:val="21"/>
                <w:szCs w:val="21"/>
              </w:rPr>
              <w:t>GBP 100</w:t>
            </w:r>
          </w:p>
        </w:tc>
        <w:tc>
          <w:tcPr>
            <w:tcW w:w="696" w:type="pct"/>
            <w:tcBorders>
              <w:top w:val="single" w:color="auto" w:sz="4" w:space="0"/>
              <w:left w:val="single" w:color="auto" w:sz="4" w:space="0"/>
              <w:bottom w:val="single" w:color="auto" w:sz="4" w:space="0"/>
              <w:right w:val="single" w:color="auto" w:sz="4" w:space="0"/>
            </w:tcBorders>
            <w:noWrap/>
          </w:tcPr>
          <w:p w:rsidRPr="007475C0" w:rsidR="009960BA" w:rsidP="007475C0" w:rsidRDefault="009960BA" w14:paraId="6FE13339" w14:textId="67B7480B">
            <w:pPr>
              <w:pStyle w:val="ssPara"/>
              <w:rPr>
                <w:rFonts w:cs="Arial"/>
                <w:sz w:val="21"/>
                <w:szCs w:val="21"/>
              </w:rPr>
            </w:pPr>
            <w:r w:rsidRPr="007475C0">
              <w:rPr>
                <w:rFonts w:cs="Arial"/>
                <w:sz w:val="21"/>
                <w:szCs w:val="21"/>
              </w:rPr>
              <w:t>1,000,000</w:t>
            </w:r>
          </w:p>
        </w:tc>
        <w:tc>
          <w:tcPr>
            <w:tcW w:w="768" w:type="pct"/>
            <w:tcBorders>
              <w:top w:val="single" w:color="auto" w:sz="4" w:space="0"/>
              <w:left w:val="single" w:color="auto" w:sz="4" w:space="0"/>
              <w:bottom w:val="single" w:color="auto" w:sz="4" w:space="0"/>
              <w:right w:val="single" w:color="auto" w:sz="4" w:space="0"/>
            </w:tcBorders>
          </w:tcPr>
          <w:p w:rsidRPr="007475C0" w:rsidR="009960BA" w:rsidP="007475C0" w:rsidRDefault="009960BA" w14:paraId="2D7713B6" w14:textId="24E4A5CE">
            <w:pPr>
              <w:pStyle w:val="ssPara"/>
              <w:rPr>
                <w:rFonts w:cs="Arial"/>
                <w:sz w:val="21"/>
                <w:szCs w:val="21"/>
              </w:rPr>
            </w:pPr>
            <w:r>
              <w:rPr>
                <w:rFonts w:cs="Arial"/>
                <w:sz w:val="21"/>
                <w:szCs w:val="21"/>
              </w:rPr>
              <w:t>N/A</w:t>
            </w:r>
          </w:p>
        </w:tc>
        <w:tc>
          <w:tcPr>
            <w:tcW w:w="697" w:type="pct"/>
            <w:tcBorders>
              <w:top w:val="single" w:color="auto" w:sz="4" w:space="0"/>
              <w:left w:val="single" w:color="auto" w:sz="4" w:space="0"/>
              <w:bottom w:val="single" w:color="auto" w:sz="4" w:space="0"/>
              <w:right w:val="single" w:color="auto" w:sz="4" w:space="0"/>
            </w:tcBorders>
          </w:tcPr>
          <w:p w:rsidRPr="007475C0" w:rsidR="009960BA" w:rsidP="007475C0" w:rsidRDefault="009960BA" w14:paraId="4C3BE649" w14:textId="6FD9641F">
            <w:pPr>
              <w:pStyle w:val="ssPara"/>
              <w:rPr>
                <w:rFonts w:cs="Arial"/>
                <w:sz w:val="21"/>
                <w:szCs w:val="21"/>
              </w:rPr>
            </w:pPr>
            <w:r>
              <w:rPr>
                <w:rFonts w:cs="Arial"/>
                <w:sz w:val="21"/>
                <w:szCs w:val="21"/>
              </w:rPr>
              <w:t>N/A</w:t>
            </w:r>
          </w:p>
        </w:tc>
        <w:tc>
          <w:tcPr>
            <w:tcW w:w="906" w:type="pct"/>
            <w:tcBorders>
              <w:top w:val="single" w:color="auto" w:sz="4" w:space="0"/>
              <w:left w:val="single" w:color="auto" w:sz="4" w:space="0"/>
              <w:bottom w:val="single" w:color="auto" w:sz="4" w:space="0"/>
              <w:right w:val="single" w:color="auto" w:sz="4" w:space="0"/>
            </w:tcBorders>
          </w:tcPr>
          <w:p w:rsidRPr="007475C0" w:rsidR="009960BA" w:rsidP="007475C0" w:rsidRDefault="009960BA" w14:paraId="30FE6F10" w14:textId="01E2EC0E">
            <w:pPr>
              <w:pStyle w:val="ssPara"/>
              <w:rPr>
                <w:rFonts w:cs="Arial"/>
                <w:sz w:val="21"/>
                <w:szCs w:val="21"/>
              </w:rPr>
            </w:pPr>
            <w:r w:rsidRPr="007475C0">
              <w:rPr>
                <w:rFonts w:cs="Arial"/>
                <w:sz w:val="21"/>
                <w:szCs w:val="21"/>
              </w:rPr>
              <w:t>1,000,000</w:t>
            </w:r>
          </w:p>
        </w:tc>
        <w:tc>
          <w:tcPr>
            <w:tcW w:w="680" w:type="pct"/>
            <w:tcBorders>
              <w:top w:val="single" w:color="auto" w:sz="4" w:space="0"/>
              <w:left w:val="single" w:color="auto" w:sz="4" w:space="0"/>
              <w:bottom w:val="single" w:color="auto" w:sz="4" w:space="0"/>
              <w:right w:val="single" w:color="auto" w:sz="4" w:space="0"/>
            </w:tcBorders>
          </w:tcPr>
          <w:p w:rsidRPr="007475C0" w:rsidR="009960BA" w:rsidP="007475C0" w:rsidRDefault="009960BA" w14:paraId="2BF78BE9" w14:textId="60587B29">
            <w:pPr>
              <w:pStyle w:val="ssPara"/>
              <w:rPr>
                <w:rFonts w:cs="Arial"/>
                <w:sz w:val="21"/>
                <w:szCs w:val="21"/>
              </w:rPr>
            </w:pPr>
            <w:r>
              <w:rPr>
                <w:rFonts w:cs="Arial"/>
                <w:sz w:val="21"/>
                <w:szCs w:val="21"/>
              </w:rPr>
              <w:t>Accumulating</w:t>
            </w:r>
          </w:p>
        </w:tc>
      </w:tr>
      <w:tr w:rsidRPr="007475C0" w:rsidR="00100252" w:rsidTr="002A0300" w14:paraId="2062A5AB" w14:textId="77777777">
        <w:trPr>
          <w:trHeight w:val="300"/>
        </w:trPr>
        <w:tc>
          <w:tcPr>
            <w:tcW w:w="834" w:type="pct"/>
            <w:tcBorders>
              <w:top w:val="single" w:color="auto" w:sz="4" w:space="0"/>
              <w:left w:val="single" w:color="auto" w:sz="4" w:space="0"/>
              <w:bottom w:val="single" w:color="auto" w:sz="4" w:space="0"/>
              <w:right w:val="single" w:color="auto" w:sz="4" w:space="0"/>
            </w:tcBorders>
            <w:noWrap/>
          </w:tcPr>
          <w:p w:rsidR="00100252" w:rsidP="00100252" w:rsidRDefault="00100252" w14:paraId="27462F16" w14:textId="355058C5">
            <w:pPr>
              <w:pStyle w:val="ssPara"/>
              <w:rPr>
                <w:rFonts w:cs="Arial"/>
                <w:sz w:val="21"/>
                <w:szCs w:val="21"/>
              </w:rPr>
            </w:pPr>
            <w:r>
              <w:rPr>
                <w:rFonts w:cs="Arial"/>
                <w:sz w:val="21"/>
                <w:szCs w:val="21"/>
              </w:rPr>
              <w:t xml:space="preserve">Class A1 GBP Hedged </w:t>
            </w:r>
            <w:proofErr w:type="gramStart"/>
            <w:r>
              <w:rPr>
                <w:rFonts w:cs="Arial"/>
                <w:sz w:val="21"/>
                <w:szCs w:val="21"/>
              </w:rPr>
              <w:t>Accumulating  (</w:t>
            </w:r>
            <w:proofErr w:type="gramEnd"/>
            <w:r w:rsidR="006226BA">
              <w:rPr>
                <w:rFonts w:cs="Arial"/>
                <w:sz w:val="21"/>
                <w:szCs w:val="21"/>
              </w:rPr>
              <w:t>un</w:t>
            </w:r>
            <w:r>
              <w:rPr>
                <w:rFonts w:cs="Arial"/>
                <w:sz w:val="21"/>
                <w:szCs w:val="21"/>
              </w:rPr>
              <w:t>listed)</w:t>
            </w:r>
          </w:p>
        </w:tc>
        <w:tc>
          <w:tcPr>
            <w:tcW w:w="419" w:type="pct"/>
            <w:tcBorders>
              <w:top w:val="single" w:color="auto" w:sz="4" w:space="0"/>
              <w:left w:val="single" w:color="auto" w:sz="4" w:space="0"/>
              <w:bottom w:val="single" w:color="auto" w:sz="4" w:space="0"/>
              <w:right w:val="single" w:color="auto" w:sz="4" w:space="0"/>
            </w:tcBorders>
          </w:tcPr>
          <w:p w:rsidR="00100252" w:rsidP="00100252" w:rsidRDefault="00100252" w14:paraId="4A893921" w14:textId="7A4D7513">
            <w:pPr>
              <w:pStyle w:val="ssPara"/>
              <w:rPr>
                <w:rFonts w:cs="Arial"/>
                <w:sz w:val="21"/>
                <w:szCs w:val="21"/>
              </w:rPr>
            </w:pPr>
            <w:r>
              <w:rPr>
                <w:rFonts w:cs="Arial"/>
                <w:sz w:val="21"/>
                <w:szCs w:val="21"/>
              </w:rPr>
              <w:t>GBP 100</w:t>
            </w:r>
          </w:p>
        </w:tc>
        <w:tc>
          <w:tcPr>
            <w:tcW w:w="696" w:type="pct"/>
            <w:tcBorders>
              <w:top w:val="single" w:color="auto" w:sz="4" w:space="0"/>
              <w:left w:val="single" w:color="auto" w:sz="4" w:space="0"/>
              <w:bottom w:val="single" w:color="auto" w:sz="4" w:space="0"/>
              <w:right w:val="single" w:color="auto" w:sz="4" w:space="0"/>
            </w:tcBorders>
            <w:noWrap/>
          </w:tcPr>
          <w:p w:rsidRPr="007475C0" w:rsidR="00100252" w:rsidP="00100252" w:rsidRDefault="00100252" w14:paraId="0D619489" w14:textId="089153D0">
            <w:pPr>
              <w:pStyle w:val="ssPara"/>
              <w:rPr>
                <w:rFonts w:cs="Arial"/>
                <w:sz w:val="21"/>
                <w:szCs w:val="21"/>
              </w:rPr>
            </w:pPr>
            <w:r w:rsidRPr="007475C0">
              <w:rPr>
                <w:rFonts w:cs="Arial"/>
                <w:sz w:val="21"/>
                <w:szCs w:val="21"/>
              </w:rPr>
              <w:t>1,000,000</w:t>
            </w:r>
          </w:p>
        </w:tc>
        <w:tc>
          <w:tcPr>
            <w:tcW w:w="768" w:type="pct"/>
            <w:tcBorders>
              <w:top w:val="single" w:color="auto" w:sz="4" w:space="0"/>
              <w:left w:val="single" w:color="auto" w:sz="4" w:space="0"/>
              <w:bottom w:val="single" w:color="auto" w:sz="4" w:space="0"/>
              <w:right w:val="single" w:color="auto" w:sz="4" w:space="0"/>
            </w:tcBorders>
          </w:tcPr>
          <w:p w:rsidR="00100252" w:rsidP="00100252" w:rsidRDefault="00100252" w14:paraId="738C14AC" w14:textId="2B83E600">
            <w:pPr>
              <w:pStyle w:val="ssPara"/>
              <w:rPr>
                <w:rFonts w:cs="Arial"/>
                <w:sz w:val="21"/>
                <w:szCs w:val="21"/>
              </w:rPr>
            </w:pPr>
            <w:r w:rsidRPr="007475C0">
              <w:rPr>
                <w:rFonts w:cs="Arial"/>
                <w:sz w:val="21"/>
                <w:szCs w:val="21"/>
              </w:rPr>
              <w:t>1</w:t>
            </w:r>
            <w:r>
              <w:rPr>
                <w:rFonts w:cs="Arial"/>
                <w:sz w:val="21"/>
                <w:szCs w:val="21"/>
              </w:rPr>
              <w:t>,0</w:t>
            </w:r>
            <w:r w:rsidRPr="007475C0">
              <w:rPr>
                <w:rFonts w:cs="Arial"/>
                <w:sz w:val="21"/>
                <w:szCs w:val="21"/>
              </w:rPr>
              <w:t>00,000</w:t>
            </w:r>
          </w:p>
        </w:tc>
        <w:tc>
          <w:tcPr>
            <w:tcW w:w="697" w:type="pct"/>
            <w:tcBorders>
              <w:top w:val="single" w:color="auto" w:sz="4" w:space="0"/>
              <w:left w:val="single" w:color="auto" w:sz="4" w:space="0"/>
              <w:bottom w:val="single" w:color="auto" w:sz="4" w:space="0"/>
              <w:right w:val="single" w:color="auto" w:sz="4" w:space="0"/>
            </w:tcBorders>
          </w:tcPr>
          <w:p w:rsidR="00100252" w:rsidP="00100252" w:rsidRDefault="00100252" w14:paraId="60020092" w14:textId="5EEC8A08">
            <w:pPr>
              <w:pStyle w:val="ssPara"/>
              <w:rPr>
                <w:rFonts w:cs="Arial"/>
                <w:sz w:val="21"/>
                <w:szCs w:val="21"/>
              </w:rPr>
            </w:pPr>
            <w:r w:rsidRPr="007475C0">
              <w:rPr>
                <w:rFonts w:cs="Arial"/>
                <w:sz w:val="21"/>
                <w:szCs w:val="21"/>
              </w:rPr>
              <w:t>1</w:t>
            </w:r>
            <w:r>
              <w:rPr>
                <w:rFonts w:cs="Arial"/>
                <w:sz w:val="21"/>
                <w:szCs w:val="21"/>
              </w:rPr>
              <w:t>,0</w:t>
            </w:r>
            <w:r w:rsidRPr="007475C0">
              <w:rPr>
                <w:rFonts w:cs="Arial"/>
                <w:sz w:val="21"/>
                <w:szCs w:val="21"/>
              </w:rPr>
              <w:t>00,000</w:t>
            </w:r>
          </w:p>
        </w:tc>
        <w:tc>
          <w:tcPr>
            <w:tcW w:w="906"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47DCC511" w14:textId="17924ED6">
            <w:pPr>
              <w:pStyle w:val="ssPara"/>
              <w:rPr>
                <w:rFonts w:cs="Arial"/>
                <w:sz w:val="21"/>
                <w:szCs w:val="21"/>
              </w:rPr>
            </w:pPr>
            <w:r>
              <w:rPr>
                <w:rFonts w:cs="Arial"/>
                <w:sz w:val="21"/>
                <w:szCs w:val="21"/>
              </w:rPr>
              <w:t>N/A</w:t>
            </w:r>
          </w:p>
        </w:tc>
        <w:tc>
          <w:tcPr>
            <w:tcW w:w="680" w:type="pct"/>
            <w:tcBorders>
              <w:top w:val="single" w:color="auto" w:sz="4" w:space="0"/>
              <w:left w:val="single" w:color="auto" w:sz="4" w:space="0"/>
              <w:bottom w:val="single" w:color="auto" w:sz="4" w:space="0"/>
              <w:right w:val="single" w:color="auto" w:sz="4" w:space="0"/>
            </w:tcBorders>
          </w:tcPr>
          <w:p w:rsidR="00100252" w:rsidP="00100252" w:rsidRDefault="00100252" w14:paraId="7B8109D2" w14:textId="49A56106">
            <w:pPr>
              <w:pStyle w:val="ssPara"/>
              <w:rPr>
                <w:rFonts w:cs="Arial"/>
                <w:sz w:val="21"/>
                <w:szCs w:val="21"/>
              </w:rPr>
            </w:pPr>
            <w:r>
              <w:rPr>
                <w:rFonts w:cs="Arial"/>
                <w:sz w:val="21"/>
                <w:szCs w:val="21"/>
              </w:rPr>
              <w:t>Accumulating</w:t>
            </w:r>
          </w:p>
        </w:tc>
      </w:tr>
      <w:tr w:rsidRPr="007475C0" w:rsidR="00100252" w:rsidTr="002A0300" w14:paraId="7F523E4B" w14:textId="77777777">
        <w:trPr>
          <w:trHeight w:val="300"/>
        </w:trPr>
        <w:tc>
          <w:tcPr>
            <w:tcW w:w="834" w:type="pct"/>
            <w:tcBorders>
              <w:top w:val="single" w:color="auto" w:sz="4" w:space="0"/>
              <w:left w:val="single" w:color="auto" w:sz="4" w:space="0"/>
              <w:bottom w:val="single" w:color="auto" w:sz="4" w:space="0"/>
              <w:right w:val="single" w:color="auto" w:sz="4" w:space="0"/>
            </w:tcBorders>
            <w:noWrap/>
          </w:tcPr>
          <w:p w:rsidRPr="007475C0" w:rsidR="00100252" w:rsidP="00100252" w:rsidRDefault="00100252" w14:paraId="27F11078" w14:textId="09B24F3A">
            <w:pPr>
              <w:pStyle w:val="ssPara"/>
              <w:rPr>
                <w:sz w:val="21"/>
                <w:szCs w:val="21"/>
              </w:rPr>
            </w:pPr>
            <w:r w:rsidRPr="007475C0">
              <w:rPr>
                <w:rFonts w:cs="Arial"/>
                <w:sz w:val="21"/>
                <w:szCs w:val="21"/>
              </w:rPr>
              <w:t>Class A EUR Hedged</w:t>
            </w:r>
            <w:r>
              <w:rPr>
                <w:rFonts w:cs="Arial"/>
                <w:sz w:val="21"/>
                <w:szCs w:val="21"/>
              </w:rPr>
              <w:t xml:space="preserve"> </w:t>
            </w:r>
            <w:proofErr w:type="gramStart"/>
            <w:r>
              <w:rPr>
                <w:rFonts w:cs="Arial"/>
                <w:sz w:val="21"/>
                <w:szCs w:val="21"/>
              </w:rPr>
              <w:t xml:space="preserve">Distributing </w:t>
            </w:r>
            <w:r w:rsidRPr="007475C0">
              <w:rPr>
                <w:rFonts w:cs="Arial"/>
                <w:sz w:val="21"/>
                <w:szCs w:val="21"/>
              </w:rPr>
              <w:t xml:space="preserve"> (</w:t>
            </w:r>
            <w:proofErr w:type="gramEnd"/>
            <w:r w:rsidRPr="007475C0">
              <w:rPr>
                <w:rFonts w:cs="Arial"/>
                <w:sz w:val="21"/>
                <w:szCs w:val="21"/>
              </w:rPr>
              <w:t>unlisted)</w:t>
            </w:r>
          </w:p>
        </w:tc>
        <w:tc>
          <w:tcPr>
            <w:tcW w:w="419"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661198FE" w14:textId="77777777">
            <w:pPr>
              <w:pStyle w:val="ssPara"/>
              <w:rPr>
                <w:sz w:val="21"/>
                <w:szCs w:val="21"/>
              </w:rPr>
            </w:pPr>
            <w:r w:rsidRPr="007475C0">
              <w:rPr>
                <w:rFonts w:cs="Arial"/>
                <w:sz w:val="21"/>
                <w:szCs w:val="21"/>
              </w:rPr>
              <w:t>EUR 100</w:t>
            </w:r>
          </w:p>
        </w:tc>
        <w:tc>
          <w:tcPr>
            <w:tcW w:w="696" w:type="pct"/>
            <w:tcBorders>
              <w:top w:val="single" w:color="auto" w:sz="4" w:space="0"/>
              <w:left w:val="single" w:color="auto" w:sz="4" w:space="0"/>
              <w:bottom w:val="single" w:color="auto" w:sz="4" w:space="0"/>
              <w:right w:val="single" w:color="auto" w:sz="4" w:space="0"/>
            </w:tcBorders>
            <w:noWrap/>
          </w:tcPr>
          <w:p w:rsidRPr="007475C0" w:rsidR="00100252" w:rsidP="00100252" w:rsidRDefault="00100252" w14:paraId="4C273A77" w14:textId="77777777">
            <w:pPr>
              <w:pStyle w:val="ssPara"/>
              <w:rPr>
                <w:sz w:val="21"/>
                <w:szCs w:val="21"/>
              </w:rPr>
            </w:pPr>
            <w:r w:rsidRPr="007475C0">
              <w:rPr>
                <w:rFonts w:cs="Arial"/>
                <w:sz w:val="21"/>
                <w:szCs w:val="21"/>
              </w:rPr>
              <w:t>1,000,000</w:t>
            </w:r>
          </w:p>
        </w:tc>
        <w:tc>
          <w:tcPr>
            <w:tcW w:w="768"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17FABA2E" w14:textId="77777777">
            <w:pPr>
              <w:pStyle w:val="ssPara"/>
              <w:rPr>
                <w:sz w:val="21"/>
                <w:szCs w:val="21"/>
              </w:rPr>
            </w:pPr>
            <w:r w:rsidRPr="007475C0">
              <w:rPr>
                <w:rFonts w:cs="Arial"/>
                <w:sz w:val="21"/>
                <w:szCs w:val="21"/>
              </w:rPr>
              <w:t>1,000,000</w:t>
            </w:r>
          </w:p>
        </w:tc>
        <w:tc>
          <w:tcPr>
            <w:tcW w:w="697"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08C52D1D" w14:textId="77777777">
            <w:pPr>
              <w:pStyle w:val="ssPara"/>
              <w:rPr>
                <w:sz w:val="21"/>
                <w:szCs w:val="21"/>
              </w:rPr>
            </w:pPr>
            <w:r w:rsidRPr="007475C0">
              <w:rPr>
                <w:rFonts w:cs="Arial"/>
                <w:sz w:val="21"/>
                <w:szCs w:val="21"/>
              </w:rPr>
              <w:t>1,000,000</w:t>
            </w:r>
          </w:p>
        </w:tc>
        <w:tc>
          <w:tcPr>
            <w:tcW w:w="906"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2D3C6868" w14:textId="366CA62E">
            <w:pPr>
              <w:pStyle w:val="ssPara"/>
              <w:rPr>
                <w:sz w:val="21"/>
                <w:szCs w:val="21"/>
              </w:rPr>
            </w:pPr>
            <w:r w:rsidRPr="007475C0">
              <w:rPr>
                <w:rFonts w:cs="Arial"/>
                <w:sz w:val="21"/>
                <w:szCs w:val="21"/>
              </w:rPr>
              <w:t>N/A</w:t>
            </w:r>
          </w:p>
        </w:tc>
        <w:tc>
          <w:tcPr>
            <w:tcW w:w="680"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0F606012" w14:textId="057D268B">
            <w:pPr>
              <w:pStyle w:val="ssPara"/>
              <w:rPr>
                <w:sz w:val="21"/>
                <w:szCs w:val="21"/>
              </w:rPr>
            </w:pPr>
            <w:r w:rsidRPr="007475C0">
              <w:rPr>
                <w:rFonts w:cs="Arial"/>
                <w:sz w:val="21"/>
                <w:szCs w:val="21"/>
              </w:rPr>
              <w:t>Distributing</w:t>
            </w:r>
          </w:p>
        </w:tc>
      </w:tr>
      <w:tr w:rsidRPr="007475C0" w:rsidR="00100252" w:rsidTr="002A0300" w14:paraId="5A570269" w14:textId="77777777">
        <w:trPr>
          <w:trHeight w:val="300"/>
        </w:trPr>
        <w:tc>
          <w:tcPr>
            <w:tcW w:w="834" w:type="pct"/>
            <w:tcBorders>
              <w:top w:val="single" w:color="auto" w:sz="4" w:space="0"/>
              <w:left w:val="single" w:color="auto" w:sz="4" w:space="0"/>
              <w:bottom w:val="single" w:color="auto" w:sz="4" w:space="0"/>
              <w:right w:val="single" w:color="auto" w:sz="4" w:space="0"/>
            </w:tcBorders>
            <w:noWrap/>
          </w:tcPr>
          <w:p w:rsidRPr="007475C0" w:rsidR="00100252" w:rsidP="00100252" w:rsidRDefault="00100252" w14:paraId="41EDB6A0" w14:textId="7C53AFA6">
            <w:pPr>
              <w:pStyle w:val="ssPara"/>
              <w:rPr>
                <w:rFonts w:cs="Arial"/>
                <w:sz w:val="21"/>
                <w:szCs w:val="21"/>
              </w:rPr>
            </w:pPr>
            <w:r>
              <w:rPr>
                <w:rFonts w:cs="Arial"/>
                <w:sz w:val="21"/>
                <w:szCs w:val="21"/>
              </w:rPr>
              <w:t>Class A1 EUR Hedged Accumulating (unlisted)</w:t>
            </w:r>
          </w:p>
        </w:tc>
        <w:tc>
          <w:tcPr>
            <w:tcW w:w="419"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5783DEEE" w14:textId="290B4740">
            <w:pPr>
              <w:pStyle w:val="ssPara"/>
              <w:rPr>
                <w:rFonts w:cs="Arial"/>
                <w:sz w:val="21"/>
                <w:szCs w:val="21"/>
              </w:rPr>
            </w:pPr>
            <w:r>
              <w:rPr>
                <w:rFonts w:cs="Arial"/>
                <w:sz w:val="21"/>
                <w:szCs w:val="21"/>
              </w:rPr>
              <w:t>EUR 100</w:t>
            </w:r>
          </w:p>
        </w:tc>
        <w:tc>
          <w:tcPr>
            <w:tcW w:w="696" w:type="pct"/>
            <w:tcBorders>
              <w:top w:val="single" w:color="auto" w:sz="4" w:space="0"/>
              <w:left w:val="single" w:color="auto" w:sz="4" w:space="0"/>
              <w:bottom w:val="single" w:color="auto" w:sz="4" w:space="0"/>
              <w:right w:val="single" w:color="auto" w:sz="4" w:space="0"/>
            </w:tcBorders>
            <w:noWrap/>
          </w:tcPr>
          <w:p w:rsidRPr="007475C0" w:rsidR="00100252" w:rsidP="00100252" w:rsidRDefault="00100252" w14:paraId="790C433F" w14:textId="30B93246">
            <w:pPr>
              <w:pStyle w:val="ssPara"/>
              <w:rPr>
                <w:rFonts w:cs="Arial"/>
                <w:sz w:val="21"/>
                <w:szCs w:val="21"/>
              </w:rPr>
            </w:pPr>
            <w:r>
              <w:rPr>
                <w:rFonts w:cs="Arial"/>
                <w:sz w:val="21"/>
                <w:szCs w:val="21"/>
              </w:rPr>
              <w:t>1,000,000</w:t>
            </w:r>
          </w:p>
        </w:tc>
        <w:tc>
          <w:tcPr>
            <w:tcW w:w="768"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667CD294" w14:textId="4BCA80F8">
            <w:pPr>
              <w:pStyle w:val="ssPara"/>
              <w:rPr>
                <w:rFonts w:cs="Arial"/>
                <w:sz w:val="21"/>
                <w:szCs w:val="21"/>
              </w:rPr>
            </w:pPr>
            <w:r>
              <w:rPr>
                <w:rFonts w:cs="Arial"/>
                <w:sz w:val="21"/>
                <w:szCs w:val="21"/>
              </w:rPr>
              <w:t>1,000,000</w:t>
            </w:r>
          </w:p>
        </w:tc>
        <w:tc>
          <w:tcPr>
            <w:tcW w:w="697"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5DA759FF" w14:textId="32C28642">
            <w:pPr>
              <w:pStyle w:val="ssPara"/>
              <w:rPr>
                <w:rFonts w:cs="Arial"/>
                <w:sz w:val="21"/>
                <w:szCs w:val="21"/>
              </w:rPr>
            </w:pPr>
            <w:r>
              <w:rPr>
                <w:rFonts w:cs="Arial"/>
                <w:sz w:val="21"/>
                <w:szCs w:val="21"/>
              </w:rPr>
              <w:t>1,000,000</w:t>
            </w:r>
          </w:p>
        </w:tc>
        <w:tc>
          <w:tcPr>
            <w:tcW w:w="906"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78346A7E" w14:textId="6BA5557C">
            <w:pPr>
              <w:pStyle w:val="ssPara"/>
              <w:rPr>
                <w:rFonts w:cs="Arial"/>
                <w:sz w:val="21"/>
                <w:szCs w:val="21"/>
              </w:rPr>
            </w:pPr>
            <w:r>
              <w:rPr>
                <w:rFonts w:cs="Arial"/>
                <w:sz w:val="21"/>
                <w:szCs w:val="21"/>
              </w:rPr>
              <w:t>N/A</w:t>
            </w:r>
          </w:p>
        </w:tc>
        <w:tc>
          <w:tcPr>
            <w:tcW w:w="680" w:type="pct"/>
            <w:tcBorders>
              <w:top w:val="single" w:color="auto" w:sz="4" w:space="0"/>
              <w:left w:val="single" w:color="auto" w:sz="4" w:space="0"/>
              <w:bottom w:val="single" w:color="auto" w:sz="4" w:space="0"/>
              <w:right w:val="single" w:color="auto" w:sz="4" w:space="0"/>
            </w:tcBorders>
          </w:tcPr>
          <w:p w:rsidRPr="007475C0" w:rsidR="00100252" w:rsidP="00100252" w:rsidRDefault="00100252" w14:paraId="0DE66255" w14:textId="40CD6923">
            <w:pPr>
              <w:pStyle w:val="ssPara"/>
              <w:rPr>
                <w:rFonts w:cs="Arial"/>
                <w:sz w:val="21"/>
                <w:szCs w:val="21"/>
              </w:rPr>
            </w:pPr>
            <w:r>
              <w:rPr>
                <w:rFonts w:cs="Arial"/>
                <w:sz w:val="21"/>
                <w:szCs w:val="21"/>
              </w:rPr>
              <w:t>Accumulating</w:t>
            </w:r>
          </w:p>
        </w:tc>
      </w:tr>
    </w:tbl>
    <w:p w:rsidR="007363C9" w:rsidP="007475C0" w:rsidRDefault="007363C9" w14:paraId="0384AF25" w14:textId="77777777">
      <w:pPr>
        <w:pStyle w:val="ssPara"/>
      </w:pPr>
    </w:p>
    <w:p w:rsidRPr="00132657" w:rsidR="00987029" w:rsidP="007475C0" w:rsidRDefault="00987029" w14:paraId="24D6DB4A" w14:textId="2AB1D6A8">
      <w:pPr>
        <w:pStyle w:val="ssPara"/>
      </w:pPr>
      <w:r w:rsidRPr="00132657">
        <w:t xml:space="preserve">The Sub-Fund may add additional share Classes from time to time at the discretion of the Directors in accordance with the requirements of the Central Bank. </w:t>
      </w:r>
    </w:p>
    <w:p w:rsidRPr="00132657" w:rsidR="00987029" w:rsidP="007475C0" w:rsidRDefault="00987029" w14:paraId="61A779E0" w14:textId="36B7A115">
      <w:pPr>
        <w:pStyle w:val="ssPara"/>
        <w:rPr>
          <w:u w:val="single"/>
        </w:rPr>
      </w:pPr>
      <w:r w:rsidRPr="00132657">
        <w:rPr>
          <w:u w:val="single"/>
        </w:rPr>
        <w:t>Distribution Policy</w:t>
      </w:r>
    </w:p>
    <w:p w:rsidRPr="00132657" w:rsidR="00987029" w:rsidP="007475C0" w:rsidRDefault="00987029" w14:paraId="70FB77F7" w14:textId="77777777">
      <w:pPr>
        <w:pStyle w:val="ssPara"/>
        <w:sectPr w:rsidRPr="00132657" w:rsidR="00987029" w:rsidSect="00276E19">
          <w:headerReference w:type="even" r:id="rId13"/>
          <w:headerReference w:type="default" r:id="rId14"/>
          <w:footerReference w:type="even" r:id="rId15"/>
          <w:footerReference w:type="default" r:id="rId16"/>
          <w:headerReference w:type="first" r:id="rId17"/>
          <w:footerReference w:type="first" r:id="rId18"/>
          <w:pgSz w:w="11910" w:h="16840"/>
          <w:pgMar w:top="993" w:right="853" w:bottom="1134" w:left="880" w:header="0" w:footer="607" w:gutter="0"/>
          <w:cols w:space="720"/>
        </w:sectPr>
      </w:pPr>
      <w:r w:rsidRPr="00132657">
        <w:t xml:space="preserve">The Sub-Fund may issue Distributing and Accumulating Shares. The Sub-Fund may declare dividends </w:t>
      </w:r>
      <w:r>
        <w:t xml:space="preserve">quarterly </w:t>
      </w:r>
      <w:r w:rsidRPr="00132657">
        <w:t>in each year to the Shareholders of Distributing Shares out of the net income of the Sub-Fund attributable to those, in accordance with the terms of the Prospectus. The profits attributable to the Accumulating Shares in the Sub-Fund shall be retained within the Sub-Fund and will be reflected in the Net Asset Value of the Accumulating Shares.</w:t>
      </w:r>
    </w:p>
    <w:p w:rsidRPr="00132657" w:rsidR="00987029" w:rsidP="002A0300" w:rsidRDefault="00987029" w14:paraId="7A3626A7" w14:textId="529841B1">
      <w:pPr>
        <w:pStyle w:val="Heading1"/>
      </w:pPr>
      <w:bookmarkStart w:name="_Toc160050448" w:id="40"/>
      <w:r w:rsidRPr="00132657">
        <w:lastRenderedPageBreak/>
        <w:t>DEALING</w:t>
      </w:r>
      <w:bookmarkEnd w:id="40"/>
    </w:p>
    <w:p w:rsidRPr="00132657" w:rsidR="00987029" w:rsidP="007475C0" w:rsidRDefault="00987029" w14:paraId="651844E5" w14:textId="2D5DF47E">
      <w:pPr>
        <w:pStyle w:val="ssPara"/>
      </w:pPr>
      <w:r w:rsidRPr="00132657">
        <w:t xml:space="preserve">Investors can buy and sell Shares on the </w:t>
      </w:r>
      <w:r>
        <w:t>S</w:t>
      </w:r>
      <w:r w:rsidRPr="00132657">
        <w:t xml:space="preserve">econdary </w:t>
      </w:r>
      <w:r>
        <w:t>M</w:t>
      </w:r>
      <w:r w:rsidRPr="00132657">
        <w:t xml:space="preserve">arket in accordance with the procedures set out in the section entitled </w:t>
      </w:r>
      <w:r w:rsidR="002A0300">
        <w:t>“</w:t>
      </w:r>
      <w:r w:rsidRPr="00132657">
        <w:t>Secondary Market</w:t>
      </w:r>
      <w:r w:rsidR="002A0300">
        <w:t>”</w:t>
      </w:r>
      <w:r w:rsidRPr="00132657">
        <w:t xml:space="preserve"> in the Prospectus. Investors can otherwise subscribe for or redeem Creation Units in accordance with the procedures set out in the Prospectus entitled </w:t>
      </w:r>
      <w:r w:rsidR="002A0300">
        <w:t>“</w:t>
      </w:r>
      <w:r>
        <w:t>Share Dealing – ETF Sub-Funds and ETF Classes</w:t>
      </w:r>
      <w:r w:rsidR="002A0300">
        <w:t>”</w:t>
      </w:r>
      <w:r w:rsidRPr="00132657">
        <w:t>.</w:t>
      </w:r>
    </w:p>
    <w:tbl>
      <w:tblPr>
        <w:tblW w:w="5140" w:type="pct"/>
        <w:tblInd w:w="-147"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58" w:type="dxa"/>
          <w:left w:w="115" w:type="dxa"/>
          <w:right w:w="115" w:type="dxa"/>
        </w:tblCellMar>
        <w:tblLook w:val="00A0" w:firstRow="1" w:lastRow="0" w:firstColumn="1" w:lastColumn="0" w:noHBand="0" w:noVBand="0"/>
      </w:tblPr>
      <w:tblGrid>
        <w:gridCol w:w="2385"/>
        <w:gridCol w:w="7396"/>
      </w:tblGrid>
      <w:tr w:rsidRPr="00132657" w:rsidR="00987029" w:rsidTr="00D93F1B" w14:paraId="5D3325B0"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0551FF5D" w14:textId="77777777">
            <w:pPr>
              <w:pStyle w:val="ssPara"/>
              <w:jc w:val="left"/>
              <w:rPr>
                <w:lang w:val="ga-IE"/>
              </w:rPr>
            </w:pPr>
            <w:r w:rsidRPr="00132657">
              <w:rPr>
                <w:rFonts w:eastAsia="Calibri" w:cs="Arial"/>
                <w:b/>
                <w:lang w:val="ga-IE"/>
              </w:rPr>
              <w:t>Base Currency</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987029" w14:paraId="35BE363A" w14:textId="77777777">
            <w:pPr>
              <w:pStyle w:val="ssPara"/>
            </w:pPr>
            <w:r>
              <w:rPr>
                <w:rFonts w:eastAsia="Calibri" w:cs="Arial"/>
                <w:color w:val="000000"/>
              </w:rPr>
              <w:t>USD</w:t>
            </w:r>
          </w:p>
        </w:tc>
      </w:tr>
      <w:tr w:rsidRPr="00132657" w:rsidR="00987029" w:rsidTr="00D93F1B" w14:paraId="365C976F" w14:textId="77777777">
        <w:tc>
          <w:tcPr>
            <w:tcW w:w="1219" w:type="pct"/>
            <w:tcBorders>
              <w:top w:val="single" w:color="auto" w:sz="4" w:space="0"/>
              <w:left w:val="single" w:color="auto" w:sz="4" w:space="0"/>
              <w:bottom w:val="single" w:color="auto" w:sz="4" w:space="0"/>
              <w:right w:val="single" w:color="auto" w:sz="4" w:space="0"/>
            </w:tcBorders>
          </w:tcPr>
          <w:p w:rsidRPr="000F5B1C" w:rsidR="00987029" w:rsidP="002A0300" w:rsidRDefault="00987029" w14:paraId="0E39A9E1" w14:textId="77777777">
            <w:pPr>
              <w:pStyle w:val="ssPara"/>
              <w:jc w:val="left"/>
            </w:pPr>
            <w:r>
              <w:rPr>
                <w:rFonts w:eastAsia="Calibri" w:cs="Arial"/>
                <w:b/>
              </w:rPr>
              <w:t>ISIN</w:t>
            </w:r>
          </w:p>
        </w:tc>
        <w:tc>
          <w:tcPr>
            <w:tcW w:w="3781" w:type="pct"/>
            <w:tcBorders>
              <w:top w:val="single" w:color="auto" w:sz="4" w:space="0"/>
              <w:left w:val="single" w:color="auto" w:sz="4" w:space="0"/>
              <w:bottom w:val="single" w:color="auto" w:sz="4" w:space="0"/>
              <w:right w:val="single" w:color="auto" w:sz="4" w:space="0"/>
            </w:tcBorders>
          </w:tcPr>
          <w:p w:rsidR="001A3499" w:rsidP="001A3499" w:rsidRDefault="001A3499" w14:paraId="0FCD667F" w14:textId="4EA3969B">
            <w:pPr>
              <w:pStyle w:val="ssPara"/>
            </w:pPr>
            <w:r>
              <w:rPr>
                <w:rFonts w:eastAsia="Calibri" w:cs="Arial"/>
                <w:color w:val="000000"/>
              </w:rPr>
              <w:t>Class A1 USD</w:t>
            </w:r>
            <w:r>
              <w:rPr>
                <w:rFonts w:cs="Arial"/>
              </w:rPr>
              <w:t xml:space="preserve"> Accumulating</w:t>
            </w:r>
            <w:r>
              <w:rPr>
                <w:rFonts w:eastAsia="Calibri" w:cs="Arial"/>
                <w:color w:val="000000"/>
              </w:rPr>
              <w:t xml:space="preserve"> (listed): </w:t>
            </w:r>
            <w:r w:rsidRPr="00304A11" w:rsidR="00304A11">
              <w:rPr>
                <w:rFonts w:eastAsia="Calibri" w:cs="Arial"/>
                <w:color w:val="000000"/>
              </w:rPr>
              <w:t>IE000AM06QU6</w:t>
            </w:r>
          </w:p>
          <w:p w:rsidR="001A3499" w:rsidP="001A3499" w:rsidRDefault="001A3499" w14:paraId="55E1D36D" w14:textId="2154B50C">
            <w:pPr>
              <w:pStyle w:val="ssPara"/>
            </w:pPr>
            <w:r w:rsidRPr="00132657">
              <w:t xml:space="preserve">Class A GBP </w:t>
            </w:r>
            <w:r>
              <w:t xml:space="preserve">Hedged </w:t>
            </w:r>
            <w:r>
              <w:rPr>
                <w:rFonts w:eastAsia="Calibri" w:cs="Arial"/>
                <w:color w:val="000000"/>
              </w:rPr>
              <w:t>Distributing</w:t>
            </w:r>
            <w:r>
              <w:t xml:space="preserve"> </w:t>
            </w:r>
            <w:r w:rsidRPr="00132657">
              <w:t>(listed)</w:t>
            </w:r>
            <w:r>
              <w:t xml:space="preserve">: </w:t>
            </w:r>
            <w:r w:rsidRPr="00304A11" w:rsidR="00304A11">
              <w:t>IE000U8A7X11</w:t>
            </w:r>
          </w:p>
          <w:p w:rsidR="001A3499" w:rsidP="001A3499" w:rsidRDefault="001A3499" w14:paraId="5378ECC4" w14:textId="131F5E3C">
            <w:pPr>
              <w:pStyle w:val="ssPara"/>
            </w:pPr>
            <w:r>
              <w:t xml:space="preserve">Class A1 GBP Hedged </w:t>
            </w:r>
            <w:r>
              <w:rPr>
                <w:rFonts w:cs="Arial"/>
              </w:rPr>
              <w:t>Accumulating</w:t>
            </w:r>
            <w:r>
              <w:t xml:space="preserve"> (listed): </w:t>
            </w:r>
            <w:r w:rsidRPr="00304A11" w:rsidR="00304A11">
              <w:t>IE000356FN00</w:t>
            </w:r>
          </w:p>
          <w:p w:rsidR="00DA0F43" w:rsidP="001A3499" w:rsidRDefault="00DA0F43" w14:paraId="47CF8EAC" w14:textId="75BCB0BF">
            <w:pPr>
              <w:pStyle w:val="ssPara"/>
            </w:pPr>
            <w:r>
              <w:t xml:space="preserve">Class A1 GBP Hedged Accumulating (unlisted): </w:t>
            </w:r>
            <w:r w:rsidRPr="00BE3E1A" w:rsidR="00BE3E1A">
              <w:t>IE000JOYCPG1</w:t>
            </w:r>
          </w:p>
          <w:p w:rsidR="001A3499" w:rsidP="001A3499" w:rsidRDefault="001A3499" w14:paraId="611FF1D2" w14:textId="5D241310">
            <w:pPr>
              <w:pStyle w:val="ssPara"/>
            </w:pPr>
            <w:r w:rsidRPr="00132657">
              <w:t xml:space="preserve">Class A EUR </w:t>
            </w:r>
            <w:r>
              <w:t xml:space="preserve">Hedged </w:t>
            </w:r>
            <w:r>
              <w:rPr>
                <w:rFonts w:eastAsia="Calibri" w:cs="Arial"/>
                <w:color w:val="000000"/>
              </w:rPr>
              <w:t>Distributing</w:t>
            </w:r>
            <w:r>
              <w:t xml:space="preserve"> </w:t>
            </w:r>
            <w:r w:rsidRPr="00132657">
              <w:t>(unlisted)</w:t>
            </w:r>
            <w:r>
              <w:t xml:space="preserve">: </w:t>
            </w:r>
            <w:r w:rsidRPr="00304A11" w:rsidR="00304A11">
              <w:t>IE000HO03Z85</w:t>
            </w:r>
          </w:p>
          <w:p w:rsidRPr="00132657" w:rsidR="009960BA" w:rsidP="001A3499" w:rsidRDefault="001A3499" w14:paraId="5536E784" w14:textId="0C2C0C71">
            <w:pPr>
              <w:pStyle w:val="ssPara"/>
            </w:pPr>
            <w:r>
              <w:t>Class A1 EUR Hedged</w:t>
            </w:r>
            <w:r>
              <w:rPr>
                <w:rFonts w:cs="Arial"/>
              </w:rPr>
              <w:t xml:space="preserve"> Accumulating</w:t>
            </w:r>
            <w:r>
              <w:t xml:space="preserve"> (unlisted): </w:t>
            </w:r>
            <w:r w:rsidRPr="00304A11" w:rsidR="00304A11">
              <w:t>IE000J0NCWR5</w:t>
            </w:r>
          </w:p>
        </w:tc>
      </w:tr>
      <w:tr w:rsidRPr="00132657" w:rsidR="00987029" w:rsidTr="00D93F1B" w14:paraId="17A0105C"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192A470E" w14:textId="77777777">
            <w:pPr>
              <w:pStyle w:val="ssPara"/>
              <w:jc w:val="left"/>
            </w:pPr>
            <w:r w:rsidRPr="00132657">
              <w:rPr>
                <w:rFonts w:eastAsia="Calibri" w:cs="Arial"/>
                <w:b/>
              </w:rPr>
              <w:t>Business Day</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987029" w14:paraId="05F4B3BD" w14:textId="3DAB71D4">
            <w:pPr>
              <w:pStyle w:val="ssPara"/>
            </w:pPr>
            <w:r w:rsidRPr="00132657">
              <w:rPr>
                <w:rFonts w:eastAsia="Calibri" w:cs="Arial"/>
                <w:color w:val="000000"/>
              </w:rPr>
              <w:t xml:space="preserve">any day (except Saturday or Sunday) on which retail banks are open for business in Dublin </w:t>
            </w:r>
            <w:r>
              <w:rPr>
                <w:rFonts w:eastAsia="Calibri" w:cs="Arial"/>
                <w:color w:val="000000"/>
              </w:rPr>
              <w:t xml:space="preserve">and London </w:t>
            </w:r>
            <w:r w:rsidRPr="00132657">
              <w:rPr>
                <w:rFonts w:eastAsia="Calibri" w:cs="Arial"/>
                <w:color w:val="000000"/>
              </w:rPr>
              <w:t>and such other days as the Directors may determine and notify in advance to Shareholders.</w:t>
            </w:r>
          </w:p>
        </w:tc>
      </w:tr>
      <w:tr w:rsidRPr="00132657" w:rsidR="00987029" w:rsidTr="00D93F1B" w14:paraId="5C3B4E00"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72A063D3" w14:textId="77777777">
            <w:pPr>
              <w:pStyle w:val="ssPara"/>
              <w:jc w:val="left"/>
            </w:pPr>
            <w:r w:rsidRPr="00132657">
              <w:rPr>
                <w:rFonts w:eastAsia="Calibri" w:cs="Arial"/>
                <w:b/>
              </w:rPr>
              <w:t>Dealing Day</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987029" w14:paraId="0E227DA8" w14:textId="0C719D45">
            <w:pPr>
              <w:pStyle w:val="ssPara"/>
            </w:pPr>
            <w:r w:rsidRPr="00132657">
              <w:rPr>
                <w:rFonts w:eastAsia="Calibri" w:cs="Arial"/>
                <w:color w:val="000000"/>
              </w:rPr>
              <w:t xml:space="preserve">Each Business Day or such other Business Days as the </w:t>
            </w:r>
            <w:r w:rsidR="00B04296">
              <w:rPr>
                <w:rFonts w:eastAsia="Calibri" w:cs="Arial"/>
                <w:color w:val="000000"/>
              </w:rPr>
              <w:t>Directors</w:t>
            </w:r>
            <w:r w:rsidRPr="00132657">
              <w:rPr>
                <w:rFonts w:eastAsia="Calibri" w:cs="Arial"/>
                <w:color w:val="000000"/>
              </w:rPr>
              <w:t>, in conjunction with the</w:t>
            </w:r>
            <w:r w:rsidR="00B04296">
              <w:rPr>
                <w:rFonts w:eastAsia="Calibri" w:cs="Arial"/>
                <w:color w:val="000000"/>
              </w:rPr>
              <w:t xml:space="preserve"> Investment Manager and the</w:t>
            </w:r>
            <w:r w:rsidRPr="00132657">
              <w:rPr>
                <w:rFonts w:eastAsia="Calibri" w:cs="Arial"/>
                <w:color w:val="000000"/>
              </w:rPr>
              <w:t xml:space="preserve"> Administrator, from time to time may determine and notify in advance to Shareholders, provided that, unless otherwise determined in respect of the Sub-Fund, each Business Day shall be a Dealing Day and provided further that in any event there shall be at least two Dealing Days each month occurring at regular intervals.</w:t>
            </w:r>
          </w:p>
        </w:tc>
      </w:tr>
      <w:tr w:rsidRPr="00132657" w:rsidR="00987029" w:rsidTr="00D93F1B" w14:paraId="68CC074E"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6A2C4A23" w14:textId="77777777">
            <w:pPr>
              <w:pStyle w:val="ssPara"/>
              <w:jc w:val="left"/>
            </w:pPr>
            <w:r w:rsidRPr="00132657">
              <w:rPr>
                <w:rFonts w:eastAsia="Calibri" w:cs="Arial"/>
                <w:b/>
              </w:rPr>
              <w:t>Creation Unit</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076D0B" w14:paraId="40250F62" w14:textId="0C14E403">
            <w:pPr>
              <w:pStyle w:val="ssPara"/>
            </w:pPr>
            <w:proofErr w:type="gramStart"/>
            <w:r w:rsidRPr="00076D0B">
              <w:rPr>
                <w:rFonts w:eastAsia="Calibri" w:cs="Arial"/>
                <w:color w:val="000000"/>
              </w:rPr>
              <w:t>A number of</w:t>
            </w:r>
            <w:proofErr w:type="gramEnd"/>
            <w:r w:rsidRPr="00076D0B">
              <w:rPr>
                <w:rFonts w:eastAsia="Calibri" w:cs="Arial"/>
                <w:color w:val="000000"/>
              </w:rPr>
              <w:t xml:space="preserve"> shares equating to a net asset value of </w:t>
            </w:r>
            <w:r w:rsidR="00F819F6">
              <w:rPr>
                <w:rFonts w:eastAsia="Calibri" w:cs="Arial"/>
                <w:color w:val="000000"/>
              </w:rPr>
              <w:t>USD</w:t>
            </w:r>
            <w:r w:rsidRPr="00076D0B" w:rsidR="00F819F6">
              <w:rPr>
                <w:rFonts w:eastAsia="Calibri" w:cs="Arial"/>
                <w:color w:val="000000"/>
              </w:rPr>
              <w:t xml:space="preserve"> </w:t>
            </w:r>
            <w:r w:rsidRPr="00076D0B">
              <w:rPr>
                <w:rFonts w:eastAsia="Calibri" w:cs="Arial"/>
                <w:color w:val="000000"/>
              </w:rPr>
              <w:t xml:space="preserve">1,000,000 </w:t>
            </w:r>
            <w:r w:rsidR="00137B42">
              <w:rPr>
                <w:rFonts w:eastAsia="Calibri" w:cs="Arial"/>
                <w:color w:val="000000"/>
              </w:rPr>
              <w:t xml:space="preserve">(or currency equivalent) </w:t>
            </w:r>
            <w:r w:rsidRPr="00076D0B">
              <w:rPr>
                <w:rFonts w:eastAsia="Calibri" w:cs="Arial"/>
                <w:color w:val="000000"/>
              </w:rPr>
              <w:t>based on the latest-available N</w:t>
            </w:r>
            <w:r>
              <w:rPr>
                <w:rFonts w:eastAsia="Calibri" w:cs="Arial"/>
                <w:color w:val="000000"/>
              </w:rPr>
              <w:t xml:space="preserve">et </w:t>
            </w:r>
            <w:r w:rsidRPr="00076D0B">
              <w:rPr>
                <w:rFonts w:eastAsia="Calibri" w:cs="Arial"/>
                <w:color w:val="000000"/>
              </w:rPr>
              <w:t>A</w:t>
            </w:r>
            <w:r>
              <w:rPr>
                <w:rFonts w:eastAsia="Calibri" w:cs="Arial"/>
                <w:color w:val="000000"/>
              </w:rPr>
              <w:t xml:space="preserve">sset </w:t>
            </w:r>
            <w:r w:rsidRPr="00076D0B">
              <w:rPr>
                <w:rFonts w:eastAsia="Calibri" w:cs="Arial"/>
                <w:color w:val="000000"/>
              </w:rPr>
              <w:t>V</w:t>
            </w:r>
            <w:r>
              <w:rPr>
                <w:rFonts w:eastAsia="Calibri" w:cs="Arial"/>
                <w:color w:val="000000"/>
              </w:rPr>
              <w:t>alue</w:t>
            </w:r>
            <w:r w:rsidRPr="00076D0B">
              <w:rPr>
                <w:rFonts w:eastAsia="Calibri" w:cs="Arial"/>
                <w:color w:val="000000"/>
              </w:rPr>
              <w:t xml:space="preserve"> per Share</w:t>
            </w:r>
            <w:r w:rsidRPr="00132657" w:rsidR="00987029">
              <w:rPr>
                <w:rFonts w:eastAsia="Calibri" w:cs="Arial"/>
                <w:color w:val="000000"/>
              </w:rPr>
              <w:t xml:space="preserve"> or such other minimum number that the Directors, in conjunction with the Administrator, from time to time may determine.</w:t>
            </w:r>
          </w:p>
        </w:tc>
      </w:tr>
      <w:tr w:rsidRPr="00132657" w:rsidR="00987029" w:rsidTr="00D93F1B" w14:paraId="7ABDDF5B"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764119F8" w14:textId="77777777">
            <w:pPr>
              <w:pStyle w:val="ssPara"/>
              <w:jc w:val="left"/>
            </w:pPr>
            <w:r w:rsidRPr="00132657">
              <w:rPr>
                <w:rFonts w:eastAsia="Calibri" w:cs="Arial"/>
                <w:b/>
              </w:rPr>
              <w:t>Initial Offer Periods</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987029" w14:paraId="3A8E28BE" w14:textId="71D67397">
            <w:pPr>
              <w:pStyle w:val="ssPara"/>
            </w:pPr>
            <w:r w:rsidRPr="00132657">
              <w:rPr>
                <w:rFonts w:eastAsia="Calibri" w:cs="Arial"/>
                <w:color w:val="000000"/>
              </w:rPr>
              <w:t xml:space="preserve">The </w:t>
            </w:r>
            <w:r w:rsidRPr="00132657" w:rsidR="003A2D12">
              <w:rPr>
                <w:rFonts w:eastAsia="Calibri" w:cs="Arial"/>
                <w:color w:val="000000"/>
              </w:rPr>
              <w:t xml:space="preserve">Initial Offer Period for </w:t>
            </w:r>
            <w:r w:rsidR="00DA0F43">
              <w:rPr>
                <w:rFonts w:eastAsia="Calibri" w:cs="Arial"/>
                <w:color w:val="000000"/>
              </w:rPr>
              <w:t xml:space="preserve">any unlaunched </w:t>
            </w:r>
            <w:r w:rsidRPr="00132657" w:rsidR="003A2D12">
              <w:rPr>
                <w:rFonts w:eastAsia="Calibri" w:cs="Arial"/>
                <w:color w:val="000000"/>
              </w:rPr>
              <w:t>shares</w:t>
            </w:r>
            <w:r w:rsidR="003A2D12">
              <w:rPr>
                <w:rFonts w:eastAsia="Calibri" w:cs="Arial"/>
                <w:color w:val="000000"/>
              </w:rPr>
              <w:t xml:space="preserve"> </w:t>
            </w:r>
            <w:r w:rsidRPr="00132657" w:rsidR="003A2D12">
              <w:rPr>
                <w:rFonts w:eastAsia="Calibri" w:cs="Arial"/>
                <w:color w:val="000000"/>
              </w:rPr>
              <w:t xml:space="preserve">means the period beginning on </w:t>
            </w:r>
            <w:r w:rsidR="00FF65E2">
              <w:rPr>
                <w:rFonts w:eastAsia="Calibri" w:cs="Arial"/>
                <w:color w:val="000000"/>
              </w:rPr>
              <w:t xml:space="preserve">3 November </w:t>
            </w:r>
            <w:r w:rsidR="008D228D">
              <w:rPr>
                <w:rFonts w:eastAsia="Calibri" w:cs="Arial"/>
                <w:color w:val="000000"/>
              </w:rPr>
              <w:t>202</w:t>
            </w:r>
            <w:r w:rsidR="00DA0F43">
              <w:rPr>
                <w:rFonts w:eastAsia="Calibri" w:cs="Arial"/>
                <w:color w:val="000000"/>
              </w:rPr>
              <w:t>5</w:t>
            </w:r>
            <w:r w:rsidR="008D228D">
              <w:rPr>
                <w:rFonts w:eastAsia="Calibri" w:cs="Arial"/>
                <w:color w:val="000000"/>
              </w:rPr>
              <w:t xml:space="preserve"> </w:t>
            </w:r>
            <w:r w:rsidRPr="00132657" w:rsidR="003A2D12">
              <w:rPr>
                <w:rFonts w:eastAsia="Calibri" w:cs="Arial"/>
                <w:color w:val="000000"/>
              </w:rPr>
              <w:t xml:space="preserve">at </w:t>
            </w:r>
            <w:r w:rsidR="003A2D12">
              <w:rPr>
                <w:rFonts w:eastAsia="Calibri" w:cs="Arial"/>
                <w:color w:val="000000"/>
              </w:rPr>
              <w:t>9</w:t>
            </w:r>
            <w:r w:rsidR="003A2D12">
              <w:rPr>
                <w:rFonts w:eastAsia="Calibri" w:cs="Arial"/>
              </w:rPr>
              <w:t>:00</w:t>
            </w:r>
            <w:r w:rsidRPr="00132657" w:rsidR="003A2D12">
              <w:rPr>
                <w:rFonts w:eastAsia="Calibri" w:cs="Arial"/>
                <w:color w:val="000000"/>
              </w:rPr>
              <w:t xml:space="preserve">am (Irish time) and will terminate on </w:t>
            </w:r>
            <w:r w:rsidR="00FF65E2">
              <w:rPr>
                <w:rFonts w:eastAsia="Calibri" w:cs="Arial"/>
                <w:color w:val="000000"/>
              </w:rPr>
              <w:t>1 May</w:t>
            </w:r>
            <w:r w:rsidR="00DA0F43">
              <w:rPr>
                <w:rFonts w:eastAsia="Calibri" w:cs="Arial"/>
                <w:color w:val="000000"/>
              </w:rPr>
              <w:t xml:space="preserve"> 2026 </w:t>
            </w:r>
            <w:r w:rsidRPr="00132657" w:rsidR="003A2D12">
              <w:rPr>
                <w:rFonts w:eastAsia="Calibri" w:cs="Arial"/>
                <w:color w:val="000000"/>
              </w:rPr>
              <w:t xml:space="preserve">at </w:t>
            </w:r>
            <w:r w:rsidR="003A2D12">
              <w:rPr>
                <w:rFonts w:eastAsia="Calibri" w:cs="Arial"/>
                <w:color w:val="000000"/>
              </w:rPr>
              <w:t>3</w:t>
            </w:r>
            <w:r w:rsidR="003A2D12">
              <w:rPr>
                <w:rFonts w:eastAsia="Calibri" w:cs="Arial"/>
              </w:rPr>
              <w:t>:00</w:t>
            </w:r>
            <w:r w:rsidRPr="00132657" w:rsidR="003A2D12">
              <w:rPr>
                <w:rFonts w:eastAsia="Calibri" w:cs="Arial"/>
                <w:color w:val="000000"/>
              </w:rPr>
              <w:t>pm (Irish time) or such other time determined by the Directors in accordance with the requirements of the Central Bank.</w:t>
            </w:r>
          </w:p>
        </w:tc>
      </w:tr>
      <w:tr w:rsidRPr="00132657" w:rsidR="00987029" w:rsidTr="00D93F1B" w14:paraId="7E0661BB"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612E9A32" w14:textId="77777777">
            <w:pPr>
              <w:pStyle w:val="ssPara"/>
              <w:jc w:val="left"/>
              <w:rPr>
                <w:highlight w:val="yellow"/>
              </w:rPr>
            </w:pPr>
            <w:r w:rsidRPr="00132657">
              <w:rPr>
                <w:rFonts w:eastAsia="Calibri" w:cs="Arial"/>
                <w:b/>
              </w:rPr>
              <w:t xml:space="preserve">Subscription Settlement Time following the </w:t>
            </w:r>
            <w:r>
              <w:rPr>
                <w:rFonts w:eastAsia="Calibri" w:cs="Arial"/>
                <w:b/>
              </w:rPr>
              <w:t>I</w:t>
            </w:r>
            <w:r w:rsidRPr="00132657">
              <w:rPr>
                <w:rFonts w:eastAsia="Calibri" w:cs="Arial"/>
                <w:b/>
              </w:rPr>
              <w:t xml:space="preserve">nitial </w:t>
            </w:r>
            <w:r>
              <w:rPr>
                <w:rFonts w:eastAsia="Calibri" w:cs="Arial"/>
                <w:b/>
              </w:rPr>
              <w:t>O</w:t>
            </w:r>
            <w:r w:rsidRPr="00132657">
              <w:rPr>
                <w:rFonts w:eastAsia="Calibri" w:cs="Arial"/>
                <w:b/>
              </w:rPr>
              <w:t xml:space="preserve">ffer </w:t>
            </w:r>
            <w:r>
              <w:rPr>
                <w:rFonts w:eastAsia="Calibri" w:cs="Arial"/>
                <w:b/>
              </w:rPr>
              <w:t>P</w:t>
            </w:r>
            <w:r w:rsidRPr="00132657">
              <w:rPr>
                <w:rFonts w:eastAsia="Calibri" w:cs="Arial"/>
                <w:b/>
              </w:rPr>
              <w:t>eriod**</w:t>
            </w:r>
          </w:p>
        </w:tc>
        <w:tc>
          <w:tcPr>
            <w:tcW w:w="3781" w:type="pct"/>
            <w:tcBorders>
              <w:top w:val="single" w:color="auto" w:sz="4" w:space="0"/>
              <w:left w:val="single" w:color="auto" w:sz="4" w:space="0"/>
              <w:bottom w:val="single" w:color="auto" w:sz="4" w:space="0"/>
              <w:right w:val="single" w:color="auto" w:sz="4" w:space="0"/>
            </w:tcBorders>
          </w:tcPr>
          <w:p w:rsidRPr="00132657" w:rsidR="003A2D12" w:rsidP="007475C0" w:rsidRDefault="00217574" w14:paraId="153CE5D3" w14:textId="666E74C1">
            <w:pPr>
              <w:pStyle w:val="ssPara"/>
            </w:pPr>
            <w:r>
              <w:rPr>
                <w:rFonts w:eastAsia="Calibri" w:cs="Arial"/>
              </w:rPr>
              <w:t>T</w:t>
            </w:r>
            <w:r w:rsidRPr="00132657" w:rsidR="003A2D12">
              <w:rPr>
                <w:rFonts w:eastAsia="Calibri" w:cs="Arial"/>
              </w:rPr>
              <w:t xml:space="preserve">he </w:t>
            </w:r>
            <w:r w:rsidR="003A2D12">
              <w:rPr>
                <w:rFonts w:eastAsia="Calibri" w:cs="Arial"/>
              </w:rPr>
              <w:t xml:space="preserve">second </w:t>
            </w:r>
            <w:r w:rsidRPr="00132657" w:rsidR="003A2D12">
              <w:rPr>
                <w:rFonts w:eastAsia="Calibri" w:cs="Arial"/>
              </w:rPr>
              <w:t xml:space="preserve">Business Day after the relevant Dealing Day or such other </w:t>
            </w:r>
            <w:r>
              <w:rPr>
                <w:rFonts w:eastAsia="Calibri" w:cs="Arial"/>
              </w:rPr>
              <w:t>date</w:t>
            </w:r>
            <w:r w:rsidRPr="00132657" w:rsidR="003A2D12">
              <w:rPr>
                <w:rFonts w:eastAsia="Calibri" w:cs="Arial"/>
              </w:rPr>
              <w:t xml:space="preserve"> determined by the Directors in accordance with the requirements of the Central Bank.</w:t>
            </w:r>
          </w:p>
          <w:p w:rsidRPr="00132657" w:rsidR="003A2D12" w:rsidP="007475C0" w:rsidRDefault="003A2D12" w14:paraId="5C498513" w14:textId="77777777">
            <w:pPr>
              <w:pStyle w:val="ssPara"/>
              <w:rPr>
                <w:i/>
                <w:iCs/>
              </w:rPr>
            </w:pPr>
            <w:r w:rsidRPr="00132657">
              <w:rPr>
                <w:i/>
                <w:iCs/>
              </w:rPr>
              <w:t>Cash Subscriptions</w:t>
            </w:r>
          </w:p>
          <w:p w:rsidRPr="00132657" w:rsidR="003A2D12" w:rsidP="007475C0" w:rsidRDefault="003A2D12" w14:paraId="0B83174D" w14:textId="5571C753">
            <w:pPr>
              <w:pStyle w:val="ssPara"/>
            </w:pPr>
            <w:r w:rsidRPr="00132657">
              <w:t xml:space="preserve">In respect of cash subscriptions, the second Business Day after the relevant Dealing Day; provided that if such day is not a day on which foreign exchange markets are open for settlement of payments in the relevant Share Class currency (a </w:t>
            </w:r>
            <w:r w:rsidR="002A0300">
              <w:t>“</w:t>
            </w:r>
            <w:r w:rsidRPr="003D00EA">
              <w:rPr>
                <w:u w:val="single"/>
              </w:rPr>
              <w:t>Currency Day</w:t>
            </w:r>
            <w:r w:rsidR="002A0300">
              <w:t>”</w:t>
            </w:r>
            <w:r w:rsidRPr="00132657">
              <w:t>), settlement will be postponed to the immediately following Currency Day.</w:t>
            </w:r>
          </w:p>
          <w:p w:rsidRPr="00132657" w:rsidR="003A2D12" w:rsidP="002A0300" w:rsidRDefault="003A2D12" w14:paraId="3F219FF1" w14:textId="77777777">
            <w:pPr>
              <w:pStyle w:val="ssPara"/>
              <w:keepNext/>
              <w:keepLines/>
              <w:rPr>
                <w:i/>
                <w:iCs/>
              </w:rPr>
            </w:pPr>
            <w:r w:rsidRPr="00132657">
              <w:rPr>
                <w:i/>
                <w:iCs/>
              </w:rPr>
              <w:lastRenderedPageBreak/>
              <w:t>In Specie Subscriptions</w:t>
            </w:r>
          </w:p>
          <w:p w:rsidRPr="00132657" w:rsidR="00987029" w:rsidP="002A0300" w:rsidRDefault="003A2D12" w14:paraId="2120AFD6" w14:textId="34F57967">
            <w:pPr>
              <w:pStyle w:val="ssPara"/>
              <w:keepNext/>
              <w:keepLines/>
              <w:rPr>
                <w:highlight w:val="yellow"/>
              </w:rPr>
            </w:pPr>
            <w:r w:rsidRPr="00132657">
              <w:t xml:space="preserve">In respect of in specie subscriptions, the </w:t>
            </w:r>
            <w:r>
              <w:t>second</w:t>
            </w:r>
            <w:r w:rsidRPr="00132657">
              <w:t xml:space="preserve"> Business Day after the relevant Dealing Day or within such other period as the Directors may determine (not exceeding </w:t>
            </w:r>
            <w:r>
              <w:t>five</w:t>
            </w:r>
            <w:r w:rsidRPr="00132657">
              <w:t xml:space="preserve"> Business Days following the relevant Dealing Deadline). </w:t>
            </w:r>
          </w:p>
        </w:tc>
      </w:tr>
      <w:tr w:rsidRPr="00132657" w:rsidR="00987029" w:rsidTr="00D93F1B" w14:paraId="3A3F5E51"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55E03D97" w14:textId="77777777">
            <w:pPr>
              <w:pStyle w:val="ssPara"/>
              <w:jc w:val="left"/>
              <w:rPr>
                <w:highlight w:val="yellow"/>
              </w:rPr>
            </w:pPr>
            <w:r w:rsidRPr="00132657">
              <w:rPr>
                <w:rFonts w:eastAsia="Calibri" w:cs="Arial"/>
                <w:b/>
              </w:rPr>
              <w:lastRenderedPageBreak/>
              <w:t>Redemption Settlement Time***</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217574" w14:paraId="16A7B109" w14:textId="22D642F8">
            <w:pPr>
              <w:pStyle w:val="ssPara"/>
              <w:rPr>
                <w:highlight w:val="yellow"/>
              </w:rPr>
            </w:pPr>
            <w:r>
              <w:rPr>
                <w:rFonts w:eastAsia="Calibri" w:cs="Arial"/>
              </w:rPr>
              <w:t>T</w:t>
            </w:r>
            <w:r w:rsidRPr="00132657" w:rsidR="003A2D12">
              <w:rPr>
                <w:rFonts w:eastAsia="Calibri" w:cs="Arial"/>
              </w:rPr>
              <w:t xml:space="preserve">he second Business Day after the relevant Dealing Day or such other </w:t>
            </w:r>
            <w:r>
              <w:rPr>
                <w:rFonts w:eastAsia="Calibri" w:cs="Arial"/>
              </w:rPr>
              <w:t>date</w:t>
            </w:r>
            <w:r w:rsidRPr="00132657" w:rsidR="003A2D12">
              <w:rPr>
                <w:rFonts w:eastAsia="Calibri" w:cs="Arial"/>
              </w:rPr>
              <w:t xml:space="preserve"> determined by the Directors in accordance with the requirements of the Central Bank.</w:t>
            </w:r>
          </w:p>
        </w:tc>
      </w:tr>
      <w:tr w:rsidRPr="00132657" w:rsidR="00987029" w:rsidTr="00D93F1B" w14:paraId="2D2350B3"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2C121E2C" w14:textId="77777777">
            <w:pPr>
              <w:pStyle w:val="ssPara"/>
              <w:jc w:val="left"/>
              <w:rPr>
                <w:highlight w:val="yellow"/>
              </w:rPr>
            </w:pPr>
            <w:r w:rsidRPr="00132657">
              <w:rPr>
                <w:rFonts w:eastAsia="Calibri" w:cs="Arial"/>
                <w:b/>
              </w:rPr>
              <w:t>Trade Cut-Off Time</w:t>
            </w:r>
            <w:r w:rsidRPr="00132657">
              <w:rPr>
                <w:rFonts w:eastAsia="Calibri" w:cs="Arial"/>
                <w:b/>
                <w:highlight w:val="yellow"/>
              </w:rPr>
              <w:t xml:space="preserve"> </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3A2D12" w14:paraId="4E1C422B" w14:textId="73A1800D">
            <w:pPr>
              <w:pStyle w:val="ssPara"/>
              <w:rPr>
                <w:highlight w:val="yellow"/>
              </w:rPr>
            </w:pPr>
            <w:r>
              <w:rPr>
                <w:rFonts w:eastAsia="Calibri" w:cs="Arial"/>
              </w:rPr>
              <w:t>3:00pm</w:t>
            </w:r>
            <w:r w:rsidRPr="00132657">
              <w:rPr>
                <w:rFonts w:eastAsia="Calibri" w:cs="Arial"/>
              </w:rPr>
              <w:t xml:space="preserve"> (Irish time) on the</w:t>
            </w:r>
            <w:r>
              <w:rPr>
                <w:rFonts w:eastAsia="Calibri" w:cs="Arial"/>
              </w:rPr>
              <w:t xml:space="preserve"> Business Day before the</w:t>
            </w:r>
            <w:r w:rsidRPr="00132657">
              <w:rPr>
                <w:rFonts w:eastAsia="Calibri" w:cs="Arial"/>
              </w:rPr>
              <w:t xml:space="preserve"> Dealing Day or such other time determined by the Directors for subscription or redemption in the Primary Market.</w:t>
            </w:r>
          </w:p>
        </w:tc>
      </w:tr>
      <w:tr w:rsidRPr="00132657" w:rsidR="00987029" w:rsidTr="00D93F1B" w14:paraId="7D1AC551"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3EDBBE24" w14:textId="77777777">
            <w:pPr>
              <w:pStyle w:val="ssPara"/>
              <w:jc w:val="left"/>
            </w:pPr>
            <w:r w:rsidRPr="00132657">
              <w:rPr>
                <w:rFonts w:eastAsia="Calibri" w:cs="Arial"/>
                <w:b/>
              </w:rPr>
              <w:t>Distribution Date</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3A2D12" w14:paraId="0F1A4020" w14:textId="6DD212C9">
            <w:pPr>
              <w:pStyle w:val="ssPara"/>
            </w:pPr>
            <w:r w:rsidRPr="00132657">
              <w:rPr>
                <w:rFonts w:eastAsia="Calibri" w:cs="Arial"/>
              </w:rPr>
              <w:t xml:space="preserve">For any distributing shares, a date on which distributions are to be </w:t>
            </w:r>
            <w:proofErr w:type="gramStart"/>
            <w:r w:rsidRPr="00132657">
              <w:rPr>
                <w:rFonts w:eastAsia="Calibri" w:cs="Arial"/>
              </w:rPr>
              <w:t>declared</w:t>
            </w:r>
            <w:proofErr w:type="gramEnd"/>
            <w:r w:rsidRPr="00132657">
              <w:rPr>
                <w:rFonts w:eastAsia="Calibri" w:cs="Arial"/>
              </w:rPr>
              <w:t xml:space="preserve"> and which shall be a Business Day during </w:t>
            </w:r>
            <w:r>
              <w:rPr>
                <w:rFonts w:eastAsia="Calibri" w:cs="Arial"/>
              </w:rPr>
              <w:t>May, August, November and February</w:t>
            </w:r>
            <w:r w:rsidRPr="00132657">
              <w:rPr>
                <w:rFonts w:eastAsia="Calibri" w:cs="Arial"/>
              </w:rPr>
              <w:t xml:space="preserve"> in each year, as determined by the </w:t>
            </w:r>
            <w:r>
              <w:rPr>
                <w:rFonts w:eastAsia="Calibri" w:cs="Arial"/>
              </w:rPr>
              <w:t>Directors</w:t>
            </w:r>
            <w:r w:rsidRPr="00132657">
              <w:rPr>
                <w:rFonts w:eastAsia="Calibri" w:cs="Arial"/>
                <w:color w:val="000000"/>
              </w:rPr>
              <w:t xml:space="preserve"> in conjunction with the </w:t>
            </w:r>
            <w:r>
              <w:rPr>
                <w:rFonts w:eastAsia="Calibri" w:cs="Arial"/>
                <w:color w:val="000000"/>
              </w:rPr>
              <w:t>Manage</w:t>
            </w:r>
            <w:r w:rsidRPr="00132657">
              <w:rPr>
                <w:rFonts w:eastAsia="Calibri" w:cs="Arial"/>
                <w:color w:val="000000"/>
              </w:rPr>
              <w:t>r</w:t>
            </w:r>
            <w:r>
              <w:rPr>
                <w:rFonts w:eastAsia="Calibri" w:cs="Arial"/>
                <w:color w:val="000000"/>
              </w:rPr>
              <w:t xml:space="preserve"> and/or the Investment Manager</w:t>
            </w:r>
            <w:r w:rsidRPr="00132657">
              <w:rPr>
                <w:rFonts w:eastAsia="Calibri" w:cs="Arial"/>
              </w:rPr>
              <w:t>, as appropriate.</w:t>
            </w:r>
          </w:p>
        </w:tc>
      </w:tr>
      <w:tr w:rsidRPr="00132657" w:rsidR="00987029" w:rsidTr="00D93F1B" w14:paraId="792E27CE"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0710AF63" w14:textId="77777777">
            <w:pPr>
              <w:pStyle w:val="ssPara"/>
              <w:jc w:val="left"/>
            </w:pPr>
            <w:r w:rsidRPr="00132657">
              <w:rPr>
                <w:rFonts w:eastAsia="Calibri" w:cs="Arial"/>
                <w:b/>
              </w:rPr>
              <w:t>Valuation Point</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AB5BD3" w14:paraId="26251F4A" w14:textId="5B45A849">
            <w:pPr>
              <w:pStyle w:val="ssPara"/>
            </w:pPr>
            <w:r>
              <w:rPr>
                <w:rFonts w:eastAsia="Calibri" w:cs="Arial"/>
              </w:rPr>
              <w:t>4:00pm</w:t>
            </w:r>
            <w:r w:rsidRPr="00132657" w:rsidR="00987029">
              <w:rPr>
                <w:rFonts w:eastAsia="Calibri" w:cs="Arial"/>
              </w:rPr>
              <w:t xml:space="preserve"> (Irish time) on the Dealing Day or such other time determined by the Directors at which point the assets and liabilities of the </w:t>
            </w:r>
            <w:r w:rsidR="00987029">
              <w:rPr>
                <w:rFonts w:eastAsia="Calibri" w:cs="Arial"/>
              </w:rPr>
              <w:t>Sub-</w:t>
            </w:r>
            <w:r w:rsidRPr="00132657" w:rsidR="00987029">
              <w:rPr>
                <w:rFonts w:eastAsia="Calibri" w:cs="Arial"/>
              </w:rPr>
              <w:t>Fund will be valued for the purposes of calculating the Net Asset Value.</w:t>
            </w:r>
          </w:p>
        </w:tc>
      </w:tr>
      <w:tr w:rsidRPr="00132657" w:rsidR="00987029" w:rsidTr="00D93F1B" w14:paraId="0D94D5EC"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7ABA0670" w14:textId="77777777">
            <w:pPr>
              <w:pStyle w:val="ssPara"/>
              <w:jc w:val="left"/>
            </w:pPr>
            <w:r w:rsidRPr="00132657">
              <w:rPr>
                <w:rFonts w:eastAsia="Calibri" w:cs="Arial"/>
                <w:b/>
              </w:rPr>
              <w:t>Subscription Charge</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6A4F97" w14:paraId="4D95F996" w14:textId="4819F082">
            <w:pPr>
              <w:pStyle w:val="ssPara"/>
            </w:pPr>
            <w:r>
              <w:rPr>
                <w:rFonts w:eastAsia="Calibri" w:cs="Arial"/>
              </w:rPr>
              <w:t>Up to a maximum of 1% of the Net Asset Value per share.</w:t>
            </w:r>
          </w:p>
        </w:tc>
      </w:tr>
      <w:tr w:rsidRPr="00132657" w:rsidR="00987029" w:rsidTr="00D93F1B" w14:paraId="6E833453"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21DF7DD3" w14:textId="77777777">
            <w:pPr>
              <w:pStyle w:val="ssPara"/>
              <w:jc w:val="left"/>
            </w:pPr>
            <w:r w:rsidRPr="00132657">
              <w:rPr>
                <w:rFonts w:eastAsia="Calibri" w:cs="Arial"/>
                <w:b/>
              </w:rPr>
              <w:t>Redemption Charge</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6A4F97" w14:paraId="15EADF3F" w14:textId="04C38DAC">
            <w:pPr>
              <w:pStyle w:val="ssPara"/>
            </w:pPr>
            <w:r>
              <w:rPr>
                <w:rFonts w:eastAsia="Calibri" w:cs="Arial"/>
              </w:rPr>
              <w:t>Up to a maximum of 1% of the Net Asset Value per share.</w:t>
            </w:r>
          </w:p>
        </w:tc>
      </w:tr>
      <w:tr w:rsidRPr="00132657" w:rsidR="00987029" w:rsidTr="00D93F1B" w14:paraId="7DB9BB5D"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3A7B3616" w14:textId="77777777">
            <w:pPr>
              <w:pStyle w:val="ssPara"/>
              <w:jc w:val="left"/>
            </w:pPr>
            <w:r w:rsidRPr="00132657">
              <w:rPr>
                <w:rFonts w:eastAsia="Calibri" w:cs="Arial"/>
                <w:b/>
              </w:rPr>
              <w:t>Cash Transaction Fee</w:t>
            </w:r>
            <w:r w:rsidRPr="00132657">
              <w:rPr>
                <w:rFonts w:eastAsia="Times New Roman" w:cs="Arial"/>
              </w:rPr>
              <w:t>#</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987029" w14:paraId="23D6AD0E" w14:textId="08B8EAAA">
            <w:pPr>
              <w:pStyle w:val="ssPara"/>
            </w:pPr>
            <w:r w:rsidRPr="00132657">
              <w:rPr>
                <w:rFonts w:eastAsia="Calibri" w:cs="Arial"/>
              </w:rPr>
              <w:t xml:space="preserve">Up to a maximum of </w:t>
            </w:r>
            <w:r w:rsidR="003A2D12">
              <w:rPr>
                <w:rFonts w:eastAsia="Calibri" w:cs="Arial"/>
              </w:rPr>
              <w:t>1</w:t>
            </w:r>
            <w:r w:rsidRPr="00132657">
              <w:rPr>
                <w:rFonts w:eastAsia="Calibri" w:cs="Arial"/>
              </w:rPr>
              <w:t>% of the Net Asset Value per share.</w:t>
            </w:r>
          </w:p>
        </w:tc>
      </w:tr>
      <w:tr w:rsidRPr="00132657" w:rsidR="00987029" w:rsidTr="00D93F1B" w14:paraId="4998024A"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5955D159" w14:textId="77777777">
            <w:pPr>
              <w:pStyle w:val="ssPara"/>
              <w:jc w:val="left"/>
            </w:pPr>
            <w:r w:rsidRPr="00132657">
              <w:rPr>
                <w:rFonts w:eastAsia="Calibri" w:cs="Arial"/>
                <w:b/>
              </w:rPr>
              <w:t>In Specie Transaction Fee#</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987029" w14:paraId="4C4D3932" w14:textId="17405AB6">
            <w:pPr>
              <w:pStyle w:val="ssPara"/>
            </w:pPr>
            <w:r w:rsidRPr="00132657">
              <w:rPr>
                <w:rFonts w:eastAsia="Calibri" w:cs="Arial"/>
              </w:rPr>
              <w:t xml:space="preserve">Up to a maximum of </w:t>
            </w:r>
            <w:r w:rsidR="003A2D12">
              <w:rPr>
                <w:rFonts w:eastAsia="Calibri" w:cs="Arial"/>
              </w:rPr>
              <w:t>1</w:t>
            </w:r>
            <w:r w:rsidRPr="00132657">
              <w:rPr>
                <w:rFonts w:eastAsia="Calibri" w:cs="Arial"/>
              </w:rPr>
              <w:t>% of the Net Asset Value per share.</w:t>
            </w:r>
          </w:p>
        </w:tc>
      </w:tr>
      <w:tr w:rsidRPr="00132657" w:rsidR="00987029" w:rsidTr="00D93F1B" w14:paraId="677A05D2" w14:textId="77777777">
        <w:tc>
          <w:tcPr>
            <w:tcW w:w="1219" w:type="pct"/>
            <w:tcBorders>
              <w:top w:val="single" w:color="auto" w:sz="4" w:space="0"/>
              <w:left w:val="single" w:color="auto" w:sz="4" w:space="0"/>
              <w:bottom w:val="single" w:color="auto" w:sz="4" w:space="0"/>
              <w:right w:val="single" w:color="auto" w:sz="4" w:space="0"/>
            </w:tcBorders>
          </w:tcPr>
          <w:p w:rsidRPr="00132657" w:rsidR="00987029" w:rsidP="002A0300" w:rsidRDefault="00987029" w14:paraId="679CA387" w14:textId="77777777">
            <w:pPr>
              <w:pStyle w:val="ssPara"/>
              <w:jc w:val="left"/>
            </w:pPr>
            <w:r w:rsidRPr="00132657">
              <w:rPr>
                <w:rFonts w:eastAsia="Calibri" w:cs="Arial"/>
                <w:b/>
              </w:rPr>
              <w:t>Minimum Fund Size</w:t>
            </w:r>
          </w:p>
        </w:tc>
        <w:tc>
          <w:tcPr>
            <w:tcW w:w="3781" w:type="pct"/>
            <w:tcBorders>
              <w:top w:val="single" w:color="auto" w:sz="4" w:space="0"/>
              <w:left w:val="single" w:color="auto" w:sz="4" w:space="0"/>
              <w:bottom w:val="single" w:color="auto" w:sz="4" w:space="0"/>
              <w:right w:val="single" w:color="auto" w:sz="4" w:space="0"/>
            </w:tcBorders>
          </w:tcPr>
          <w:p w:rsidRPr="00132657" w:rsidR="00987029" w:rsidP="007475C0" w:rsidRDefault="00987029" w14:paraId="7F3A594A" w14:textId="651F20CD">
            <w:pPr>
              <w:pStyle w:val="ssPara"/>
            </w:pPr>
            <w:r>
              <w:rPr>
                <w:rFonts w:eastAsia="Calibri" w:cs="Arial"/>
              </w:rPr>
              <w:t>EUR 50,000,000</w:t>
            </w:r>
            <w:r w:rsidRPr="00132657">
              <w:rPr>
                <w:rFonts w:eastAsia="Calibri" w:cs="Arial"/>
              </w:rPr>
              <w:t xml:space="preserve"> within 12 months of the Sub-Fund</w:t>
            </w:r>
            <w:r w:rsidR="002A0300">
              <w:rPr>
                <w:rFonts w:eastAsia="Calibri" w:cs="Arial"/>
              </w:rPr>
              <w:t>’</w:t>
            </w:r>
            <w:r w:rsidRPr="00132657">
              <w:rPr>
                <w:rFonts w:eastAsia="Calibri" w:cs="Arial"/>
              </w:rPr>
              <w:t>s launch.</w:t>
            </w:r>
          </w:p>
          <w:p w:rsidRPr="00132657" w:rsidR="00987029" w:rsidP="007475C0" w:rsidRDefault="00987029" w14:paraId="7C80779F" w14:textId="77777777">
            <w:pPr>
              <w:pStyle w:val="ssPara"/>
            </w:pPr>
          </w:p>
        </w:tc>
      </w:tr>
    </w:tbl>
    <w:p w:rsidRPr="00132657" w:rsidR="00987029" w:rsidP="007475C0" w:rsidRDefault="00987029" w14:paraId="4F3E3B41" w14:textId="77777777">
      <w:pPr>
        <w:pStyle w:val="ssPara"/>
      </w:pPr>
      <w:r w:rsidRPr="00132657">
        <w:rPr>
          <w:rFonts w:eastAsia="Times New Roman" w:cs="Arial"/>
        </w:rPr>
        <w:t>* All times are Irish time unless otherwise specified.</w:t>
      </w:r>
    </w:p>
    <w:p w:rsidRPr="00132657" w:rsidR="00987029" w:rsidP="007475C0" w:rsidRDefault="00987029" w14:paraId="21741105" w14:textId="402ED357">
      <w:pPr>
        <w:pStyle w:val="ssPara"/>
      </w:pPr>
      <w:r w:rsidRPr="00132657">
        <w:t xml:space="preserve">** In exceptional circumstances, earlier or later settlement </w:t>
      </w:r>
      <w:r w:rsidR="00217574">
        <w:t>dates</w:t>
      </w:r>
      <w:r w:rsidRPr="00132657">
        <w:t xml:space="preserve"> may be determined by the Directors or their delegate at their discretion with prior Shareholder notice and Administrator consent, where applicable, and will be done strictly on a best effort basis.</w:t>
      </w:r>
    </w:p>
    <w:p w:rsidRPr="00132657" w:rsidR="00987029" w:rsidP="007475C0" w:rsidRDefault="00987029" w14:paraId="7CBDAF93" w14:textId="240EB990">
      <w:pPr>
        <w:pStyle w:val="ssPara"/>
      </w:pPr>
      <w:r w:rsidRPr="00132657">
        <w:t xml:space="preserve">*** Applicable both to the </w:t>
      </w:r>
      <w:r w:rsidR="00217574">
        <w:t>date</w:t>
      </w:r>
      <w:r w:rsidRPr="00132657">
        <w:t xml:space="preserve"> redemption proceeds are remitted by the Sub-Fund and the </w:t>
      </w:r>
      <w:r w:rsidR="00217574">
        <w:t>date</w:t>
      </w:r>
      <w:r w:rsidRPr="00132657">
        <w:t xml:space="preserve"> by which shares of the Sub-Fund are to be delivered by the redeeming Shareholder. In exceptional circumstances, earlier or later settlement </w:t>
      </w:r>
      <w:r w:rsidR="00217574">
        <w:t>dates</w:t>
      </w:r>
      <w:r w:rsidRPr="00132657">
        <w:t xml:space="preserve"> may be determined by the Directors or their delegate at their discretion with prior Shareholder notice, where applicable, and will be done strictly on a best effort basis.</w:t>
      </w:r>
    </w:p>
    <w:p w:rsidRPr="00132657" w:rsidR="00987029" w:rsidP="007475C0" w:rsidRDefault="00987029" w14:paraId="1405948A" w14:textId="77777777">
      <w:pPr>
        <w:pStyle w:val="ssPara"/>
      </w:pPr>
      <w:r w:rsidRPr="00132657">
        <w:t xml:space="preserve"># Subject to the discretion of the Directors to waive such a fee. </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7"/>
    <w:bookmarkEnd w:id="38"/>
    <w:p w:rsidRPr="002A0300" w:rsidR="002A0300" w:rsidP="002A0300" w:rsidRDefault="00987029" w14:paraId="36D8C166" w14:textId="77777777">
      <w:pPr>
        <w:pStyle w:val="ssPara"/>
      </w:pPr>
      <w:r w:rsidRPr="00132657">
        <w:rPr>
          <w:lang w:val="en-US"/>
        </w:rPr>
        <w:br w:type="page"/>
      </w:r>
      <w:bookmarkStart w:name="_Toc148409536" w:id="41"/>
      <w:bookmarkStart w:name="_Toc167685325" w:id="42"/>
      <w:bookmarkStart w:name="_Toc196119346" w:id="43"/>
      <w:bookmarkStart w:name="_Toc199047509" w:id="44"/>
      <w:bookmarkStart w:name="_Toc201637040" w:id="45"/>
      <w:bookmarkStart w:name="_Toc201637193" w:id="46"/>
      <w:bookmarkStart w:name="_Toc230662752" w:id="47"/>
      <w:bookmarkStart w:name="_Toc233109950" w:id="48"/>
      <w:bookmarkStart w:name="_Toc233110413" w:id="49"/>
      <w:bookmarkStart w:name="_Toc290454419" w:id="50"/>
      <w:bookmarkStart w:name="_Toc291761579" w:id="51"/>
      <w:bookmarkStart w:name="_Toc361865848" w:id="52"/>
      <w:bookmarkStart w:name="_Toc363580340" w:id="53"/>
      <w:bookmarkStart w:name="_Toc390454991" w:id="54"/>
      <w:bookmarkStart w:name="_Toc393830489" w:id="55"/>
      <w:bookmarkStart w:name="_Toc399497338" w:id="56"/>
      <w:bookmarkStart w:name="_Toc413232924" w:id="57"/>
      <w:bookmarkStart w:name="_Toc531478131" w:id="58"/>
      <w:bookmarkStart w:name="_Toc533000396" w:id="59"/>
      <w:bookmarkStart w:name="_Toc533000570" w:id="60"/>
      <w:bookmarkStart w:name="_Toc533000665" w:id="61"/>
      <w:bookmarkStart w:name="_Toc534898686" w:id="62"/>
      <w:bookmarkStart w:name="_Toc4752676" w:id="63"/>
      <w:bookmarkStart w:name="_Toc4752724" w:id="64"/>
      <w:bookmarkStart w:name="_Toc35417830" w:id="65"/>
      <w:bookmarkStart w:name="_Toc256000005" w:id="66"/>
      <w:bookmarkStart w:name="_Toc35528048" w:id="67"/>
    </w:p>
    <w:p w:rsidRPr="00132657" w:rsidR="00987029" w:rsidP="002A0300" w:rsidRDefault="00987029" w14:paraId="2DC29E2C" w14:textId="152B3D3B">
      <w:pPr>
        <w:pStyle w:val="Heading1"/>
      </w:pPr>
      <w:bookmarkStart w:name="_Toc160050449" w:id="68"/>
      <w:r w:rsidRPr="00132657">
        <w:lastRenderedPageBreak/>
        <w:t>FEES AND EXPENSES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Pr="00132657" w:rsidR="00987029" w:rsidP="007475C0" w:rsidRDefault="00987029" w14:paraId="1E3ACBFD" w14:textId="77777777">
      <w:pPr>
        <w:pStyle w:val="ssPara"/>
      </w:pPr>
      <w:bookmarkStart w:name="_Hlk69853325" w:id="69"/>
      <w:r w:rsidRPr="00132657">
        <w:rPr>
          <w:rFonts w:cs="Arial"/>
        </w:rPr>
        <w:t xml:space="preserve">The following fees and expenses will be incurred by the Fund on behalf of the Sub-Fund and will affect the Net Asset Value of the relevant Class of Share of the Sub-Fund: </w:t>
      </w:r>
      <w:r w:rsidRPr="00132657">
        <w:rPr>
          <w:rFonts w:cs="Arial"/>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57"/>
        <w:gridCol w:w="4758"/>
      </w:tblGrid>
      <w:tr w:rsidRPr="00132657" w:rsidR="00987029" w:rsidTr="00D93F1B" w14:paraId="23BFCAB0" w14:textId="77777777">
        <w:tc>
          <w:tcPr>
            <w:tcW w:w="4757" w:type="dxa"/>
            <w:shd w:val="clear" w:color="auto" w:fill="BFBFBF" w:themeFill="background1" w:themeFillShade="BF"/>
          </w:tcPr>
          <w:p w:rsidRPr="00132657" w:rsidR="00987029" w:rsidP="007475C0" w:rsidRDefault="00987029" w14:paraId="50B05FC2" w14:textId="77777777">
            <w:pPr>
              <w:pStyle w:val="ssPara"/>
            </w:pPr>
            <w:r w:rsidRPr="00132657">
              <w:rPr>
                <w:rFonts w:cs="Arial"/>
                <w:b/>
                <w:bCs/>
              </w:rPr>
              <w:t>Share Class</w:t>
            </w:r>
          </w:p>
        </w:tc>
        <w:tc>
          <w:tcPr>
            <w:tcW w:w="4758" w:type="dxa"/>
            <w:shd w:val="clear" w:color="auto" w:fill="BFBFBF" w:themeFill="background1" w:themeFillShade="BF"/>
          </w:tcPr>
          <w:p w:rsidRPr="00132657" w:rsidR="00987029" w:rsidP="007475C0" w:rsidRDefault="00987029" w14:paraId="19566DD2" w14:textId="77777777">
            <w:pPr>
              <w:pStyle w:val="ssPara"/>
            </w:pPr>
            <w:r w:rsidRPr="00132657">
              <w:rPr>
                <w:rFonts w:cs="Arial"/>
                <w:b/>
                <w:bCs/>
              </w:rPr>
              <w:t>A</w:t>
            </w:r>
          </w:p>
        </w:tc>
      </w:tr>
      <w:tr w:rsidRPr="00132657" w:rsidR="00987029" w:rsidTr="00D93F1B" w14:paraId="3CBDF373" w14:textId="77777777">
        <w:tc>
          <w:tcPr>
            <w:tcW w:w="4757" w:type="dxa"/>
          </w:tcPr>
          <w:p w:rsidRPr="00132657" w:rsidR="00987029" w:rsidP="007475C0" w:rsidRDefault="00987029" w14:paraId="0FCF7AA9" w14:textId="77777777">
            <w:pPr>
              <w:pStyle w:val="ssPara"/>
            </w:pPr>
            <w:r w:rsidRPr="00132657">
              <w:rPr>
                <w:rFonts w:cs="Arial"/>
              </w:rPr>
              <w:t xml:space="preserve">Total Expense Ratio </w:t>
            </w:r>
          </w:p>
        </w:tc>
        <w:tc>
          <w:tcPr>
            <w:tcW w:w="4758" w:type="dxa"/>
          </w:tcPr>
          <w:p w:rsidRPr="00132657" w:rsidR="00987029" w:rsidP="007475C0" w:rsidRDefault="00987029" w14:paraId="25A16C21" w14:textId="77777777">
            <w:pPr>
              <w:pStyle w:val="ssPara"/>
            </w:pPr>
            <w:r w:rsidRPr="00132657">
              <w:rPr>
                <w:rFonts w:cs="Arial"/>
              </w:rPr>
              <w:t>0.50% per annum</w:t>
            </w:r>
          </w:p>
        </w:tc>
      </w:tr>
    </w:tbl>
    <w:p w:rsidRPr="00132657" w:rsidR="00987029" w:rsidP="007475C0" w:rsidRDefault="00987029" w14:paraId="5E3144DD" w14:textId="77777777">
      <w:pPr>
        <w:pStyle w:val="ssPara"/>
      </w:pPr>
    </w:p>
    <w:p w:rsidRPr="00132657" w:rsidR="00987029" w:rsidP="007475C0" w:rsidRDefault="00987029" w14:paraId="232BB412" w14:textId="5E21E765">
      <w:pPr>
        <w:pStyle w:val="ssPara"/>
      </w:pPr>
      <w:r w:rsidRPr="00132657">
        <w:t>The Total Expense Ratio, a percentage of the Net Asset Value of the relevant Class of Shares (plus</w:t>
      </w:r>
      <w:r>
        <w:t xml:space="preserve"> </w:t>
      </w:r>
      <w:r w:rsidRPr="00132657">
        <w:t xml:space="preserve">VAT, if any), is payable out of the </w:t>
      </w:r>
      <w:r>
        <w:t xml:space="preserve">Net Asset Value of the </w:t>
      </w:r>
      <w:r w:rsidRPr="00132657">
        <w:t xml:space="preserve">Sub-Fund. The TER will accrue on each day and will be calculated on each Dealing Day and paid quarterly in arrears. The TER will cover </w:t>
      </w:r>
      <w:proofErr w:type="gramStart"/>
      <w:r w:rsidRPr="00132657">
        <w:t>all of</w:t>
      </w:r>
      <w:proofErr w:type="gramEnd"/>
      <w:r w:rsidRPr="00132657">
        <w:t xml:space="preserve"> the ordinary fees,</w:t>
      </w:r>
      <w:r>
        <w:t xml:space="preserve"> </w:t>
      </w:r>
      <w:r w:rsidRPr="00132657">
        <w:t xml:space="preserve">operating costs and expenses payable by the Sub-Fund including fees and expenses paid to the Manager, </w:t>
      </w:r>
      <w:r>
        <w:t>the Investment Manager, the Distributor</w:t>
      </w:r>
      <w:r w:rsidRPr="00132657">
        <w:t>, Director</w:t>
      </w:r>
      <w:r w:rsidR="002A0300">
        <w:t>’</w:t>
      </w:r>
      <w:r w:rsidRPr="00132657">
        <w:t xml:space="preserve">s fees, registration, transfer agency, administration and </w:t>
      </w:r>
      <w:r w:rsidR="008C6BCD">
        <w:t>depositary</w:t>
      </w:r>
      <w:r w:rsidRPr="00132657">
        <w:t xml:space="preserve"> fees, registrar fees, regulators</w:t>
      </w:r>
      <w:r w:rsidR="002A0300">
        <w:t>’</w:t>
      </w:r>
      <w:r>
        <w:t xml:space="preserve">, stock </w:t>
      </w:r>
      <w:proofErr w:type="gramStart"/>
      <w:r>
        <w:t>exchanges</w:t>
      </w:r>
      <w:r w:rsidR="002A0300">
        <w:t>’</w:t>
      </w:r>
      <w:proofErr w:type="gramEnd"/>
      <w:r w:rsidRPr="00132657">
        <w:t xml:space="preserve"> and auditors</w:t>
      </w:r>
      <w:r w:rsidR="002A0300">
        <w:t>’</w:t>
      </w:r>
      <w:r>
        <w:t xml:space="preserve"> fees</w:t>
      </w:r>
      <w:r w:rsidRPr="00132657">
        <w:t xml:space="preserve"> and certain legal expenses of the</w:t>
      </w:r>
      <w:r>
        <w:t xml:space="preserve"> Sub-</w:t>
      </w:r>
      <w:r w:rsidRPr="00132657">
        <w:t>Fund.</w:t>
      </w:r>
    </w:p>
    <w:p w:rsidR="00987029" w:rsidP="007475C0" w:rsidRDefault="00987029" w14:paraId="663A2A68" w14:textId="659AD58A">
      <w:pPr>
        <w:pStyle w:val="ssPara"/>
      </w:pPr>
      <w:r w:rsidRPr="00132657">
        <w:t>The TER does not include extraordinary/other costs and expenses (including but not limited to transaction</w:t>
      </w:r>
      <w:r>
        <w:t xml:space="preserve"> </w:t>
      </w:r>
      <w:r w:rsidRPr="00132657">
        <w:t xml:space="preserve">charges, stamp duty or other taxes on the investments of the </w:t>
      </w:r>
      <w:r>
        <w:t>Sub-</w:t>
      </w:r>
      <w:r w:rsidRPr="00132657">
        <w:t xml:space="preserve">Fund including duty charges for portfolio rebalancing, withholding taxes, commissions and brokerage fees incurred with respect to the </w:t>
      </w:r>
      <w:r>
        <w:t>Sub-</w:t>
      </w:r>
      <w:r w:rsidRPr="00132657">
        <w:t>Fund</w:t>
      </w:r>
      <w:r w:rsidR="002A0300">
        <w:t>’</w:t>
      </w:r>
      <w:r w:rsidRPr="00132657">
        <w:t>s</w:t>
      </w:r>
      <w:r>
        <w:t xml:space="preserve"> </w:t>
      </w:r>
      <w:r w:rsidRPr="00132657">
        <w:t>investments, interest on any non-overdraft credit facility and charges incurred in negotiating, effecting or</w:t>
      </w:r>
      <w:r>
        <w:t xml:space="preserve"> </w:t>
      </w:r>
      <w:r w:rsidRPr="00132657">
        <w:t>varying the terms of such facility, any commissions charged by intermediaries in relation to an investment in</w:t>
      </w:r>
      <w:r>
        <w:t xml:space="preserve"> </w:t>
      </w:r>
      <w:r w:rsidRPr="00132657">
        <w:t>the Sub-Fund and such extraordinary or exceptional costs and expenses (if any) as may arise from time to</w:t>
      </w:r>
      <w:r>
        <w:t xml:space="preserve"> </w:t>
      </w:r>
      <w:r w:rsidRPr="00132657">
        <w:t xml:space="preserve">time, such as material litigation in relation to the </w:t>
      </w:r>
      <w:r>
        <w:t>Sub-</w:t>
      </w:r>
      <w:r w:rsidRPr="00132657">
        <w:t>Fund all of which will be paid separately out of the assets of</w:t>
      </w:r>
      <w:r>
        <w:t xml:space="preserve"> </w:t>
      </w:r>
      <w:r w:rsidRPr="00132657">
        <w:t xml:space="preserve">the Sub-Fund). </w:t>
      </w:r>
    </w:p>
    <w:p w:rsidR="000B1BA4" w:rsidP="007475C0" w:rsidRDefault="000B1BA4" w14:paraId="0D9F8DE9" w14:textId="7666AEA3">
      <w:pPr>
        <w:pStyle w:val="ssPara"/>
      </w:pPr>
      <w:r>
        <w:rPr>
          <w:rFonts w:asciiTheme="minorBidi" w:hAnsiTheme="minorBidi"/>
        </w:rPr>
        <w:t>If the Sub-Fund</w:t>
      </w:r>
      <w:r w:rsidR="002A0300">
        <w:rPr>
          <w:rFonts w:asciiTheme="minorBidi" w:hAnsiTheme="minorBidi"/>
        </w:rPr>
        <w:t>’</w:t>
      </w:r>
      <w:r>
        <w:rPr>
          <w:rFonts w:asciiTheme="minorBidi" w:hAnsiTheme="minorBidi"/>
        </w:rPr>
        <w:t>s costs and expenses in connection with the operation of the Sub-Fund which are intended to be covered within the TER exceed the stated TER, the Investment Manager will discharge any excess amounts out of their own assets.</w:t>
      </w:r>
    </w:p>
    <w:bookmarkEnd w:id="69"/>
    <w:p w:rsidRPr="00132657" w:rsidR="00987029" w:rsidP="007475C0" w:rsidRDefault="00987029" w14:paraId="3BD5E1F0" w14:textId="77777777">
      <w:pPr>
        <w:pStyle w:val="ssPara"/>
        <w:rPr>
          <w:u w:val="single"/>
        </w:rPr>
      </w:pPr>
      <w:r w:rsidRPr="00132657">
        <w:rPr>
          <w:u w:val="single"/>
        </w:rPr>
        <w:t xml:space="preserve">Other Fees and Expenses </w:t>
      </w:r>
    </w:p>
    <w:p w:rsidRPr="00132657" w:rsidR="00987029" w:rsidP="007475C0" w:rsidRDefault="00987029" w14:paraId="174982B7" w14:textId="3C7D20BC">
      <w:pPr>
        <w:pStyle w:val="ssPara"/>
      </w:pPr>
      <w:r w:rsidRPr="00132657">
        <w:t>The Sub-Fund out of the TER pays the costs and expenses of the administration of the Sub-Fund, including (but not limited to): (a) the charges and expenses of legal advisers, accountants and auditors, (</w:t>
      </w:r>
      <w:r w:rsidR="009F4F03">
        <w:t>b</w:t>
      </w:r>
      <w:r w:rsidRPr="00132657">
        <w:t>) communication expenses with respect to investor services and all expenses of meetings of Directors and Shareholders and of preparing and distributing financial and other reports, proxy forms, prospectuses and similar documents, (</w:t>
      </w:r>
      <w:r w:rsidR="009F4F03">
        <w:t>c</w:t>
      </w:r>
      <w:r w:rsidRPr="00132657">
        <w:t>) the cost of insurance for the benefit of the Directors, (</w:t>
      </w:r>
      <w:r w:rsidR="009F4F03">
        <w:t>d</w:t>
      </w:r>
      <w:r w:rsidRPr="00132657">
        <w:t xml:space="preserve">) the cost of preparing and providing information to Shareholders for tax reporting purposes, </w:t>
      </w:r>
      <w:r w:rsidR="00761D38">
        <w:t>(e</w:t>
      </w:r>
      <w:r w:rsidRPr="00132657">
        <w:t>) the costs of reporting information to regulators, tax authorities or other governmental agencies, (</w:t>
      </w:r>
      <w:r w:rsidR="009F4F03">
        <w:t>f</w:t>
      </w:r>
      <w:r w:rsidRPr="00132657">
        <w:t>) the cost of obtaining and maintaining the listing of the Shares on any stock exchange and (</w:t>
      </w:r>
      <w:r w:rsidR="009F4F03">
        <w:t>g</w:t>
      </w:r>
      <w:r w:rsidRPr="00132657">
        <w:t xml:space="preserve">) all other organisational and operating expenses. These costs and expenses are incurred at normal commercial rates. </w:t>
      </w:r>
    </w:p>
    <w:p w:rsidRPr="00132657" w:rsidR="00987029" w:rsidP="007475C0" w:rsidRDefault="00987029" w14:paraId="7A2867BD" w14:textId="77777777">
      <w:pPr>
        <w:pStyle w:val="ssPara"/>
        <w:rPr>
          <w:u w:val="single"/>
        </w:rPr>
      </w:pPr>
      <w:r w:rsidRPr="00132657">
        <w:rPr>
          <w:u w:val="single"/>
        </w:rPr>
        <w:t>Establishment Costs</w:t>
      </w:r>
    </w:p>
    <w:p w:rsidRPr="00132657" w:rsidR="00987029" w:rsidP="007475C0" w:rsidRDefault="00987029" w14:paraId="7B20C5E0" w14:textId="77777777">
      <w:pPr>
        <w:pStyle w:val="ssPara"/>
        <w:rPr>
          <w:rFonts w:eastAsia="MS Mincho"/>
          <w:color w:val="000000"/>
        </w:rPr>
      </w:pPr>
      <w:r>
        <w:rPr>
          <w:rFonts w:eastAsia="MS Mincho"/>
          <w:color w:val="000000"/>
        </w:rPr>
        <w:t>All fees and expenses relating to the</w:t>
      </w:r>
      <w:r w:rsidRPr="00132657">
        <w:rPr>
          <w:rFonts w:eastAsia="MS Mincho"/>
          <w:color w:val="000000"/>
        </w:rPr>
        <w:t xml:space="preserve"> establis</w:t>
      </w:r>
      <w:r>
        <w:rPr>
          <w:rFonts w:eastAsia="MS Mincho"/>
          <w:color w:val="000000"/>
        </w:rPr>
        <w:t>hment of the</w:t>
      </w:r>
      <w:r w:rsidRPr="00132657">
        <w:rPr>
          <w:rFonts w:eastAsia="MS Mincho"/>
          <w:color w:val="000000"/>
        </w:rPr>
        <w:t xml:space="preserve"> Fund and the Sub-Fund are set out in the Prospectus.</w:t>
      </w:r>
    </w:p>
    <w:p w:rsidRPr="00132657" w:rsidR="00987029" w:rsidP="007475C0" w:rsidRDefault="00987029" w14:paraId="33542B45" w14:textId="14A1EE78">
      <w:pPr>
        <w:pStyle w:val="ssPara"/>
      </w:pPr>
      <w:bookmarkStart w:name="_Toc193173505" w:id="70"/>
      <w:r w:rsidRPr="00132657">
        <w:t xml:space="preserve">This section under the heading </w:t>
      </w:r>
      <w:r w:rsidR="002A0300">
        <w:t>“</w:t>
      </w:r>
      <w:r w:rsidRPr="00132657">
        <w:t>Fees and Expenses</w:t>
      </w:r>
      <w:r w:rsidR="002A0300">
        <w:t>”</w:t>
      </w:r>
      <w:r w:rsidRPr="00132657">
        <w:t xml:space="preserve"> should be read in conjunction with the section headed </w:t>
      </w:r>
      <w:r w:rsidR="002A0300">
        <w:t>“</w:t>
      </w:r>
      <w:r w:rsidRPr="00132657">
        <w:t>Fees and Expenses</w:t>
      </w:r>
      <w:r w:rsidR="002A0300">
        <w:t>”</w:t>
      </w:r>
      <w:r w:rsidRPr="00132657">
        <w:t xml:space="preserve"> in the Prospectus.</w:t>
      </w:r>
    </w:p>
    <w:p w:rsidR="002A0300" w:rsidP="002A0300" w:rsidRDefault="00987029" w14:paraId="1A8B2D8E" w14:textId="77777777">
      <w:pPr>
        <w:pStyle w:val="ssPara"/>
      </w:pPr>
      <w:bookmarkStart w:name="_Toc63337052" w:id="71"/>
      <w:bookmarkStart w:name="_Toc64307122" w:id="72"/>
      <w:r w:rsidRPr="00132657">
        <w:br w:type="page"/>
      </w:r>
    </w:p>
    <w:p w:rsidRPr="00132657" w:rsidR="00987029" w:rsidP="002A0300" w:rsidRDefault="00987029" w14:paraId="3F0CCA83" w14:textId="5C46933B">
      <w:pPr>
        <w:pStyle w:val="Heading1"/>
      </w:pPr>
      <w:bookmarkStart w:name="_Toc160050450" w:id="73"/>
      <w:r w:rsidRPr="00132657">
        <w:lastRenderedPageBreak/>
        <w:t>EU SUSTAINABLE FINANCE DISCLOSURE REGULATION</w:t>
      </w:r>
      <w:bookmarkEnd w:id="71"/>
      <w:bookmarkEnd w:id="72"/>
      <w:bookmarkEnd w:id="73"/>
      <w:r w:rsidRPr="00132657">
        <w:t xml:space="preserve"> </w:t>
      </w:r>
    </w:p>
    <w:p w:rsidRPr="00132657" w:rsidR="00987029" w:rsidP="007475C0" w:rsidRDefault="00987029" w14:paraId="68C1D243" w14:textId="77777777">
      <w:pPr>
        <w:pStyle w:val="ssPara"/>
        <w:rPr>
          <w:lang w:val="en-IE"/>
        </w:rPr>
      </w:pPr>
      <w:r w:rsidRPr="00132657">
        <w:rPr>
          <w:rFonts w:cs="Arial"/>
          <w:lang w:val="en-IE"/>
        </w:rPr>
        <w:t xml:space="preserve">This section summarises the </w:t>
      </w:r>
      <w:proofErr w:type="gramStart"/>
      <w:r w:rsidRPr="00132657">
        <w:rPr>
          <w:rFonts w:cs="Arial"/>
          <w:lang w:val="en-IE"/>
        </w:rPr>
        <w:t>manner in which</w:t>
      </w:r>
      <w:proofErr w:type="gramEnd"/>
      <w:r w:rsidRPr="00132657">
        <w:rPr>
          <w:rFonts w:cs="Arial"/>
          <w:lang w:val="en-IE"/>
        </w:rPr>
        <w:t xml:space="preserve"> sustainability risks are integrated into the investment decisions for the </w:t>
      </w:r>
      <w:bookmarkStart w:name="_Hlk66216859" w:id="74"/>
      <w:r w:rsidRPr="00132657">
        <w:rPr>
          <w:rFonts w:cs="Arial"/>
          <w:lang w:val="en-IE"/>
        </w:rPr>
        <w:t xml:space="preserve">Sub-Fund </w:t>
      </w:r>
      <w:bookmarkEnd w:id="74"/>
      <w:r w:rsidRPr="00132657">
        <w:rPr>
          <w:rFonts w:cs="Arial"/>
          <w:lang w:val="en-IE"/>
        </w:rPr>
        <w:t>and the results of the assessment of the likely impacts of sustainability risks on the returns of the Sub-Fund.</w:t>
      </w:r>
    </w:p>
    <w:p w:rsidRPr="00132657" w:rsidR="00987029" w:rsidP="007475C0" w:rsidRDefault="00987029" w14:paraId="6EAC49E6" w14:textId="77777777">
      <w:pPr>
        <w:pStyle w:val="ssPara"/>
        <w:rPr>
          <w:u w:val="single"/>
        </w:rPr>
      </w:pPr>
      <w:r w:rsidRPr="00132657">
        <w:rPr>
          <w:u w:val="single"/>
        </w:rPr>
        <w:t>SFDR and the Framework Regulation</w:t>
      </w:r>
    </w:p>
    <w:p w:rsidRPr="00132657" w:rsidR="00987029" w:rsidP="007475C0" w:rsidRDefault="00987029" w14:paraId="629BFC88" w14:textId="1D081AFE">
      <w:pPr>
        <w:pStyle w:val="ssPara"/>
      </w:pPr>
      <w:r w:rsidRPr="00132657">
        <w:t xml:space="preserve">Pursuant to the SFDR, financial market participants are required to disclose the </w:t>
      </w:r>
      <w:proofErr w:type="gramStart"/>
      <w:r w:rsidRPr="00132657">
        <w:t>manner in which</w:t>
      </w:r>
      <w:proofErr w:type="gramEnd"/>
      <w:r w:rsidRPr="00132657">
        <w:t xml:space="preserve"> sustainability risks are integrated into the investment decision making process and the results of the assessment of the likely impacts of sustainability risks on the returns of the Sub-Fund. For the purposes of the SFDR, </w:t>
      </w:r>
      <w:r w:rsidR="002A0300">
        <w:t>“</w:t>
      </w:r>
      <w:r w:rsidRPr="00132657">
        <w:t>sustainability risk</w:t>
      </w:r>
      <w:r w:rsidR="002A0300">
        <w:t>”</w:t>
      </w:r>
      <w:r w:rsidRPr="00132657">
        <w:t xml:space="preserve"> means an </w:t>
      </w:r>
      <w:r w:rsidR="00696372">
        <w:t>ESG</w:t>
      </w:r>
      <w:r w:rsidRPr="00132657">
        <w:t xml:space="preserve"> event or condition that, if it occurs, could cause an actual or a potential material negative impact on the value of an investment. This section should be read in conjunction with the section headed </w:t>
      </w:r>
      <w:r w:rsidR="002A0300">
        <w:t>“</w:t>
      </w:r>
      <w:r w:rsidRPr="00132657">
        <w:t>EU Sustainable Finance Disclosure Regulation</w:t>
      </w:r>
      <w:r w:rsidR="002A0300">
        <w:t>”</w:t>
      </w:r>
      <w:r w:rsidRPr="00132657">
        <w:t xml:space="preserve"> in the Prospectus.</w:t>
      </w:r>
    </w:p>
    <w:p w:rsidRPr="00003D07" w:rsidR="00003D07" w:rsidP="007475C0" w:rsidRDefault="00003D07" w14:paraId="29A3D2CD" w14:textId="7E60364D">
      <w:pPr>
        <w:pStyle w:val="ssPara"/>
      </w:pPr>
      <w:bookmarkStart w:name="_Hlk147862513" w:id="75"/>
      <w:r w:rsidRPr="00003D07">
        <w:t xml:space="preserve">The Fund, in conjunction with the Manager and the Investment Manager, has categorised the Sub-Fund as an Article 8 fund under </w:t>
      </w:r>
      <w:r>
        <w:t xml:space="preserve">the </w:t>
      </w:r>
      <w:r w:rsidRPr="00003D07">
        <w:t xml:space="preserve">SFDR. This is a fund that promotes among other characteristics environmental or social characteristics, or a combination of those characteristics, provided that the </w:t>
      </w:r>
      <w:r>
        <w:t>underlying investments</w:t>
      </w:r>
      <w:r w:rsidRPr="00003D07">
        <w:t xml:space="preserve"> follow good governance practices.  </w:t>
      </w:r>
    </w:p>
    <w:p w:rsidRPr="00003D07" w:rsidR="00003D07" w:rsidP="007475C0" w:rsidRDefault="00003D07" w14:paraId="0CDAC011" w14:textId="086BFE9B">
      <w:pPr>
        <w:pStyle w:val="ssPara"/>
      </w:pPr>
      <w:r w:rsidRPr="00003D07">
        <w:t xml:space="preserve">A Sustainability Risks Policy (the </w:t>
      </w:r>
      <w:r w:rsidR="002A0300">
        <w:t>“</w:t>
      </w:r>
      <w:r w:rsidRPr="00D36EA9">
        <w:rPr>
          <w:u w:val="single"/>
        </w:rPr>
        <w:t>Policy</w:t>
      </w:r>
      <w:r w:rsidR="002A0300">
        <w:t>”</w:t>
      </w:r>
      <w:r w:rsidRPr="00003D07">
        <w:t xml:space="preserve">) has been adopted by the Investment Manager in respect of the Sub-Fund, which sets out how sustainability risks are integrated into the investment decision-making process with respect to the Sub-Fund.  A summary description of the key features of the Policy is available at </w:t>
      </w:r>
      <w:r w:rsidRPr="00A11A35" w:rsidR="003A2D12">
        <w:t>https://www.eurizonsljcapital.com/regulatory-disclosures/</w:t>
      </w:r>
      <w:r w:rsidR="003A2D12">
        <w:t>.</w:t>
      </w:r>
    </w:p>
    <w:p w:rsidR="003F1D1F" w:rsidP="007475C0" w:rsidRDefault="00003D07" w14:paraId="32A0EC71" w14:textId="2D806766">
      <w:pPr>
        <w:pStyle w:val="ssPara"/>
      </w:pPr>
      <w:r w:rsidRPr="00003D07">
        <w:t xml:space="preserve">The sustainability-related disclosures required pursuant to the SFDR can be found in </w:t>
      </w:r>
      <w:r w:rsidR="003A2D12">
        <w:t>Schedule 1</w:t>
      </w:r>
      <w:r w:rsidRPr="00003D07">
        <w:t>.</w:t>
      </w:r>
      <w:bookmarkEnd w:id="75"/>
    </w:p>
    <w:p w:rsidRPr="00F8579F" w:rsidR="00F8579F" w:rsidP="00F8579F" w:rsidRDefault="00F8579F" w14:paraId="4F14406F" w14:textId="77777777">
      <w:pPr>
        <w:pStyle w:val="ssPara"/>
        <w:rPr>
          <w:u w:val="single"/>
        </w:rPr>
      </w:pPr>
      <w:r w:rsidRPr="00F8579F">
        <w:rPr>
          <w:u w:val="single"/>
        </w:rPr>
        <w:t>Likely impacts of sustainability risks on the returns of the Sub-Fund</w:t>
      </w:r>
    </w:p>
    <w:p w:rsidR="00F8579F" w:rsidP="00F8579F" w:rsidRDefault="00F8579F" w14:paraId="56F8B498" w14:textId="17ADC8A2">
      <w:pPr>
        <w:pStyle w:val="ssPara"/>
      </w:pPr>
      <w:r>
        <w:t>Sustainability risks may occur in a manner that is not anticipated by the Investment Manager, there may be a sudden, material negative impact on the value of an investment and hence the returns of the Sub-Fund. As a result of the assessment of the impact of sustainability risks on the returns of the Sub-Fund, the Investment Manager identified that the underlying investments may be exposed to sustainability risks that may arise from companies that are facing or are involved in ESG issues such as, but not limited to</w:t>
      </w:r>
      <w:r w:rsidR="007229E5">
        <w:t>,</w:t>
      </w:r>
      <w:r>
        <w:t xml:space="preserve"> changes in environmental, social and/or corporate governance polices, as well as severe ESG related controversies.  </w:t>
      </w:r>
    </w:p>
    <w:p w:rsidR="00F8579F" w:rsidP="00F8579F" w:rsidRDefault="00F8579F" w14:paraId="320B88A6" w14:textId="7385A9D1">
      <w:pPr>
        <w:pStyle w:val="ssPara"/>
      </w:pPr>
      <w:r>
        <w:t>The Investment Manager believes that the materiality of sustainability risks can vary considerably from industry to industry and company to company, but the assessment of ESG factors helps ensure sustainability risks are identified, understood, and controlled. For this reason, through diversification and the integration of sustainability risks, the Investment Manager aims to identify, understand, and control sustainability-related risks and therefore mitigate the potential negative impacts of sustainability risks on returns of the Sub-Fund.</w:t>
      </w:r>
    </w:p>
    <w:p w:rsidRPr="00132657" w:rsidR="00987029" w:rsidP="007475C0" w:rsidRDefault="00987029" w14:paraId="79BD310C" w14:textId="3F8DC2A6">
      <w:pPr>
        <w:pStyle w:val="ssPara"/>
        <w:rPr>
          <w:u w:val="single"/>
        </w:rPr>
      </w:pPr>
      <w:r w:rsidRPr="00132657">
        <w:rPr>
          <w:u w:val="single"/>
        </w:rPr>
        <w:t>Principal Adverse Impacts</w:t>
      </w:r>
    </w:p>
    <w:p w:rsidRPr="00132657" w:rsidR="00987029" w:rsidP="00D931B8" w:rsidRDefault="00987029" w14:paraId="6A0F83C2" w14:textId="44E5C2B4">
      <w:pPr>
        <w:pStyle w:val="ssPara"/>
      </w:pPr>
      <w:r w:rsidRPr="00132657">
        <w:t>The Investment Manager consider</w:t>
      </w:r>
      <w:r w:rsidR="00D931B8">
        <w:t>s</w:t>
      </w:r>
      <w:r w:rsidRPr="00132657">
        <w:t xml:space="preserve"> the principal adverse impacts of its investment decisions on sustainability factors, in respect of the Sub-Fund</w:t>
      </w:r>
      <w:r w:rsidR="00101529">
        <w:t>, as more particularly described</w:t>
      </w:r>
      <w:r w:rsidR="00D931B8">
        <w:t xml:space="preserve"> in Schedule 1.</w:t>
      </w:r>
    </w:p>
    <w:p w:rsidRPr="00132657" w:rsidR="00987029" w:rsidP="007475C0" w:rsidRDefault="00987029" w14:paraId="703E97B2" w14:textId="5C85D126">
      <w:pPr>
        <w:pStyle w:val="ssPara"/>
        <w:rPr>
          <w:u w:val="single"/>
        </w:rPr>
      </w:pPr>
      <w:r w:rsidRPr="00132657">
        <w:rPr>
          <w:u w:val="single"/>
        </w:rPr>
        <w:t>Taxonomy Regulation</w:t>
      </w:r>
    </w:p>
    <w:p w:rsidRPr="00132657" w:rsidR="00987029" w:rsidP="007475C0" w:rsidRDefault="00987029" w14:paraId="2C4E68EC" w14:textId="582F8807">
      <w:pPr>
        <w:pStyle w:val="ssPara"/>
      </w:pPr>
      <w:r w:rsidRPr="00132657">
        <w:t xml:space="preserve">As at the date of this Supplement, the investments underlying each financial product do not </w:t>
      </w:r>
      <w:proofErr w:type="gramStart"/>
      <w:r w:rsidRPr="00132657">
        <w:t>take into account</w:t>
      </w:r>
      <w:proofErr w:type="gramEnd"/>
      <w:r w:rsidRPr="00132657">
        <w:t xml:space="preserve"> the EU criteria for environmentally sustainable economic activities and therefore are not subject to the requirements of the </w:t>
      </w:r>
      <w:r w:rsidR="00242F6E">
        <w:t>Framework</w:t>
      </w:r>
      <w:r w:rsidRPr="00132657">
        <w:t xml:space="preserve"> Regulation.</w:t>
      </w:r>
    </w:p>
    <w:p w:rsidR="002A0300" w:rsidP="002A0300" w:rsidRDefault="00987029" w14:paraId="00A7BDD1" w14:textId="77777777">
      <w:pPr>
        <w:pStyle w:val="ssPara"/>
      </w:pPr>
      <w:bookmarkStart w:name="_Toc148409541" w:id="76"/>
      <w:bookmarkStart w:name="_Toc167685329" w:id="77"/>
      <w:bookmarkStart w:name="_Toc196119351" w:id="78"/>
      <w:bookmarkStart w:name="_Toc199047514" w:id="79"/>
      <w:bookmarkStart w:name="_Toc201637045" w:id="80"/>
      <w:bookmarkStart w:name="_Toc201637198" w:id="81"/>
      <w:bookmarkStart w:name="_Toc230662757" w:id="82"/>
      <w:bookmarkStart w:name="_Toc233109955" w:id="83"/>
      <w:bookmarkStart w:name="_Toc233110418" w:id="84"/>
      <w:bookmarkStart w:name="_Toc290454424" w:id="85"/>
      <w:bookmarkStart w:name="_Toc291761584" w:id="86"/>
      <w:bookmarkStart w:name="_Toc361865853" w:id="87"/>
      <w:bookmarkStart w:name="_Toc363580345" w:id="88"/>
      <w:bookmarkStart w:name="_Toc390454996" w:id="89"/>
      <w:bookmarkStart w:name="_Toc393830494" w:id="90"/>
      <w:bookmarkStart w:name="_Toc399497343" w:id="91"/>
      <w:bookmarkStart w:name="_Toc413232929" w:id="92"/>
      <w:bookmarkStart w:name="_Toc531478134" w:id="93"/>
      <w:bookmarkStart w:name="_Toc533000399" w:id="94"/>
      <w:bookmarkStart w:name="_Toc533000573" w:id="95"/>
      <w:bookmarkStart w:name="_Toc533000668" w:id="96"/>
      <w:bookmarkStart w:name="_Toc534898689" w:id="97"/>
      <w:bookmarkStart w:name="_Toc4752679" w:id="98"/>
      <w:bookmarkStart w:name="_Toc4752727" w:id="99"/>
      <w:bookmarkStart w:name="_Toc35417833" w:id="100"/>
      <w:bookmarkEnd w:id="70"/>
      <w:r w:rsidRPr="00132657">
        <w:br w:type="page"/>
      </w:r>
      <w:bookmarkStart w:name="_Toc35528049" w:id="101"/>
      <w:bookmarkStart w:name="_Toc256000007" w:id="102"/>
    </w:p>
    <w:p w:rsidRPr="00132657" w:rsidR="00987029" w:rsidP="002A0300" w:rsidRDefault="00987029" w14:paraId="571BF6E1" w14:textId="5E6C6D3E">
      <w:pPr>
        <w:pStyle w:val="Heading1"/>
      </w:pPr>
      <w:bookmarkStart w:name="_Toc160050451" w:id="103"/>
      <w:r w:rsidRPr="00132657">
        <w:lastRenderedPageBreak/>
        <w:t>RISK FACTORS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bookmarkEnd w:id="0"/>
    <w:p w:rsidR="00987029" w:rsidP="007475C0" w:rsidRDefault="00987029" w14:paraId="66DB0B13" w14:textId="0BE7826C">
      <w:pPr>
        <w:pStyle w:val="ssPara"/>
      </w:pPr>
      <w:r w:rsidRPr="00132657">
        <w:rPr>
          <w:rFonts w:cs="Arial"/>
        </w:rPr>
        <w:t xml:space="preserve">Certain risks relating to the Shares are set out under the heading </w:t>
      </w:r>
      <w:r w:rsidR="002A0300">
        <w:rPr>
          <w:rFonts w:cs="Arial"/>
        </w:rPr>
        <w:t>“</w:t>
      </w:r>
      <w:r w:rsidRPr="00132657">
        <w:rPr>
          <w:rFonts w:cs="Arial"/>
        </w:rPr>
        <w:t>Risk Factors</w:t>
      </w:r>
      <w:r w:rsidR="002A0300">
        <w:rPr>
          <w:rFonts w:cs="Arial"/>
        </w:rPr>
        <w:t>”</w:t>
      </w:r>
      <w:r w:rsidRPr="00132657">
        <w:rPr>
          <w:rFonts w:cs="Arial"/>
        </w:rPr>
        <w:t xml:space="preserve"> in the Prospectus. </w:t>
      </w:r>
    </w:p>
    <w:p w:rsidRPr="004B185E" w:rsidR="003F1D1F" w:rsidP="007475C0" w:rsidRDefault="003F1D1F" w14:paraId="4DDB25C3" w14:textId="35F65738">
      <w:pPr>
        <w:pStyle w:val="ssPara"/>
        <w:rPr>
          <w:i/>
          <w:iCs/>
        </w:rPr>
      </w:pPr>
      <w:proofErr w:type="gramStart"/>
      <w:r>
        <w:t>In particular, prospective</w:t>
      </w:r>
      <w:proofErr w:type="gramEnd"/>
      <w:r>
        <w:t xml:space="preserve"> investors and Shareholders should note the following risk factor</w:t>
      </w:r>
      <w:r w:rsidR="000D197B">
        <w:t>s</w:t>
      </w:r>
      <w:r>
        <w:t xml:space="preserve"> outlined in </w:t>
      </w:r>
      <w:r w:rsidRPr="004B185E">
        <w:rPr>
          <w:i/>
          <w:iCs/>
        </w:rPr>
        <w:t>the Prospectus:</w:t>
      </w:r>
    </w:p>
    <w:p w:rsidR="003F1D1F" w:rsidP="007475C0" w:rsidRDefault="002A0300" w14:paraId="4F7C8B0A" w14:textId="2AA423F3">
      <w:pPr>
        <w:pStyle w:val="ssPara"/>
      </w:pPr>
      <w:r>
        <w:rPr>
          <w:i/>
          <w:iCs/>
        </w:rPr>
        <w:t>“</w:t>
      </w:r>
      <w:r w:rsidRPr="004B185E" w:rsidR="00D404B9">
        <w:rPr>
          <w:i/>
          <w:iCs/>
        </w:rPr>
        <w:t>General Investment and Market Risks</w:t>
      </w:r>
      <w:r>
        <w:rPr>
          <w:i/>
          <w:iCs/>
        </w:rPr>
        <w:t>”</w:t>
      </w:r>
      <w:r w:rsidRPr="004B185E" w:rsidR="00D404B9">
        <w:rPr>
          <w:i/>
          <w:iCs/>
        </w:rPr>
        <w:t>,</w:t>
      </w:r>
      <w:r w:rsidR="004B185E">
        <w:rPr>
          <w:i/>
          <w:iCs/>
        </w:rPr>
        <w:t xml:space="preserve"> </w:t>
      </w:r>
      <w:r>
        <w:rPr>
          <w:i/>
          <w:iCs/>
        </w:rPr>
        <w:t>“</w:t>
      </w:r>
      <w:r w:rsidR="004B185E">
        <w:rPr>
          <w:i/>
          <w:iCs/>
        </w:rPr>
        <w:t>Emerging Markets Risk</w:t>
      </w:r>
      <w:r>
        <w:rPr>
          <w:i/>
          <w:iCs/>
        </w:rPr>
        <w:t>”</w:t>
      </w:r>
      <w:r w:rsidR="004B185E">
        <w:rPr>
          <w:i/>
          <w:iCs/>
        </w:rPr>
        <w:t xml:space="preserve">, </w:t>
      </w:r>
      <w:r>
        <w:t>“</w:t>
      </w:r>
      <w:r w:rsidRPr="004B185E" w:rsidR="000D197B">
        <w:rPr>
          <w:i/>
          <w:iCs/>
        </w:rPr>
        <w:t>Credit Risk</w:t>
      </w:r>
      <w:r>
        <w:t>”</w:t>
      </w:r>
      <w:r w:rsidR="000D197B">
        <w:t xml:space="preserve">, </w:t>
      </w:r>
      <w:r>
        <w:t>“</w:t>
      </w:r>
      <w:r w:rsidRPr="004B185E" w:rsidR="000D197B">
        <w:rPr>
          <w:i/>
          <w:iCs/>
        </w:rPr>
        <w:t>Debt Securities Risk</w:t>
      </w:r>
      <w:r>
        <w:t>”</w:t>
      </w:r>
      <w:r w:rsidR="000D197B">
        <w:t xml:space="preserve">, </w:t>
      </w:r>
      <w:r>
        <w:t>“</w:t>
      </w:r>
      <w:r w:rsidRPr="004B185E" w:rsidR="00D404B9">
        <w:rPr>
          <w:i/>
          <w:iCs/>
        </w:rPr>
        <w:t>Interest Rate Risk</w:t>
      </w:r>
      <w:r>
        <w:t>”</w:t>
      </w:r>
      <w:r w:rsidR="00D404B9">
        <w:t xml:space="preserve">, </w:t>
      </w:r>
      <w:r>
        <w:t>“</w:t>
      </w:r>
      <w:r w:rsidRPr="004B185E" w:rsidR="000D197B">
        <w:rPr>
          <w:i/>
          <w:iCs/>
        </w:rPr>
        <w:t>High Yield Risk</w:t>
      </w:r>
      <w:r>
        <w:t>”</w:t>
      </w:r>
      <w:r w:rsidR="000D197B">
        <w:t xml:space="preserve">, </w:t>
      </w:r>
      <w:r>
        <w:t>“</w:t>
      </w:r>
      <w:r w:rsidR="003F1D1F">
        <w:rPr>
          <w:i/>
          <w:iCs/>
        </w:rPr>
        <w:t>Active Management Risk</w:t>
      </w:r>
      <w:r>
        <w:t>”</w:t>
      </w:r>
      <w:r w:rsidR="003F1D1F">
        <w:t>.</w:t>
      </w:r>
    </w:p>
    <w:p w:rsidRPr="00132657" w:rsidR="003F1D1F" w:rsidP="007475C0" w:rsidRDefault="00987029" w14:paraId="548305A2" w14:textId="346428D9">
      <w:pPr>
        <w:pStyle w:val="ssPara"/>
      </w:pPr>
      <w:r w:rsidRPr="00132657">
        <w:t>The nature of the Sub-Fund</w:t>
      </w:r>
      <w:r w:rsidR="002A0300">
        <w:t>’</w:t>
      </w:r>
      <w:r w:rsidRPr="00132657">
        <w:t xml:space="preserve">s investments involves certain </w:t>
      </w:r>
      <w:proofErr w:type="gramStart"/>
      <w:r w:rsidRPr="00132657">
        <w:t>risks</w:t>
      </w:r>
      <w:proofErr w:type="gramEnd"/>
      <w:r w:rsidRPr="00132657">
        <w:t xml:space="preserve"> and the Sub-Fund utilises investment techniques (such as leverage and the use of derivatives) which may carry additional risks. An investment in Shares therefore carries substantial risk and is suitable only for persons which can assume the risk of losing their entire investment. </w:t>
      </w:r>
    </w:p>
    <w:p w:rsidRPr="00132657" w:rsidR="00987029" w:rsidP="007475C0" w:rsidRDefault="00987029" w14:paraId="7699B786" w14:textId="77777777">
      <w:pPr>
        <w:pStyle w:val="ssPara"/>
        <w:rPr>
          <w:b/>
          <w:bCs/>
        </w:rPr>
      </w:pPr>
      <w:bookmarkStart w:name="_DV_M149" w:id="104"/>
      <w:bookmarkStart w:name="_DV_M146" w:id="105"/>
      <w:bookmarkStart w:name="_DV_M147" w:id="106"/>
      <w:bookmarkStart w:name="_DV_M148" w:id="107"/>
      <w:bookmarkStart w:name="_DV_M150" w:id="108"/>
      <w:bookmarkStart w:name="_DV_M151" w:id="109"/>
      <w:bookmarkStart w:name="_DV_M152" w:id="110"/>
      <w:bookmarkStart w:name="_DV_M153" w:id="111"/>
      <w:bookmarkStart w:name="_DV_M154" w:id="112"/>
      <w:bookmarkStart w:name="_DV_M155" w:id="113"/>
      <w:bookmarkStart w:name="_DV_M156" w:id="114"/>
      <w:bookmarkStart w:name="_DV_M158" w:id="115"/>
      <w:bookmarkStart w:name="_DV_M159" w:id="116"/>
      <w:bookmarkStart w:name="_DV_M160" w:id="117"/>
      <w:bookmarkStart w:name="_DV_M161" w:id="118"/>
      <w:bookmarkStart w:name="_DV_M162" w:id="119"/>
      <w:bookmarkStart w:name="_DV_M163" w:id="120"/>
      <w:bookmarkStart w:name="_DV_M164" w:id="121"/>
      <w:bookmarkStart w:name="_DV_M165" w:id="122"/>
      <w:bookmarkStart w:name="_DV_M166" w:id="123"/>
      <w:bookmarkStart w:name="_DV_M167" w:id="124"/>
      <w:bookmarkStart w:name="_DV_M168" w:id="125"/>
      <w:bookmarkStart w:name="_DV_M169" w:id="126"/>
      <w:bookmarkStart w:name="_DV_M171" w:id="127"/>
      <w:bookmarkStart w:name="_DV_M172" w:id="128"/>
      <w:bookmarkStart w:name="_DV_M173" w:id="129"/>
      <w:bookmarkStart w:name="_DV_M175" w:id="130"/>
      <w:bookmarkStart w:name="_DV_M176" w:id="131"/>
      <w:bookmarkStart w:name="_DV_M178" w:id="132"/>
      <w:bookmarkStart w:name="_DV_M179" w:id="133"/>
      <w:bookmarkStart w:name="_DV_M180" w:id="134"/>
      <w:bookmarkStart w:name="_DV_M181" w:id="135"/>
      <w:bookmarkStart w:name="_DV_M183" w:id="136"/>
      <w:bookmarkStart w:name="_DV_M185" w:id="137"/>
      <w:bookmarkStart w:name="_DV_M186" w:id="138"/>
      <w:bookmarkStart w:name="_DV_M187" w:id="139"/>
      <w:bookmarkStart w:name="_DV_M191" w:id="140"/>
      <w:bookmarkStart w:name="_DV_M192" w:id="141"/>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132657">
        <w:rPr>
          <w:b/>
          <w:bCs/>
        </w:rPr>
        <w:t xml:space="preserve">THE DIRECTORS OF THE FUND, THE MANAGER AND THE INVESTMENT MANAGER MAKE NO EXPRESS OR IMPLIED WARRANTIES, AND EXPRESSLY DISCLAIM ALL WARRANTIES OF MERCHANTABILITY OR FITNESS FOR A PARTICULAR PURPOSE OR USE WITH RESPECT TO THE INVESTMENT STRATEGY. POTENTIAL INVESTORS SHOULD CONSULT THEIR OWN PROFESSIONAL ADVISERS ON WHETHER AN INVESTMENT IN THE </w:t>
      </w:r>
      <w:r>
        <w:rPr>
          <w:b/>
          <w:bCs/>
        </w:rPr>
        <w:t>SUB-</w:t>
      </w:r>
      <w:r w:rsidRPr="00132657">
        <w:rPr>
          <w:b/>
          <w:bCs/>
        </w:rPr>
        <w:t>FUND IS SUITABLE FOR THEM, BASED ON THE INVESTMENT STRATEGY AS SET OUT HEREIN.</w:t>
      </w:r>
    </w:p>
    <w:p w:rsidRPr="00132657" w:rsidR="00987029" w:rsidP="007475C0" w:rsidRDefault="00987029" w14:paraId="022297AE" w14:textId="77777777">
      <w:pPr>
        <w:pStyle w:val="ssPara"/>
        <w:rPr>
          <w:b/>
          <w:bCs/>
        </w:rPr>
      </w:pPr>
      <w:r w:rsidRPr="00132657">
        <w:rPr>
          <w:b/>
          <w:bCs/>
        </w:rPr>
        <w:br w:type="page"/>
      </w:r>
    </w:p>
    <w:p w:rsidRPr="00132657" w:rsidR="00987029" w:rsidP="002A0300" w:rsidRDefault="00987029" w14:paraId="176D43D3" w14:textId="77777777">
      <w:pPr>
        <w:pStyle w:val="Heading1"/>
      </w:pPr>
      <w:bookmarkStart w:name="_Toc160050452" w:id="142"/>
      <w:r w:rsidRPr="00132657">
        <w:lastRenderedPageBreak/>
        <w:t>SUB-FUNDS</w:t>
      </w:r>
      <w:bookmarkEnd w:id="142"/>
    </w:p>
    <w:p w:rsidRPr="00132657" w:rsidR="00987029" w:rsidP="007475C0" w:rsidRDefault="00987029" w14:paraId="1BC59F1C" w14:textId="77777777">
      <w:pPr>
        <w:pStyle w:val="ssPara"/>
      </w:pPr>
      <w:r w:rsidRPr="00132657">
        <w:t>There are currently no other Sub-Funds of the Fund in existence. Additional Sub-Funds of the Fund may be added in the future with the prior approval of the Central Bank.</w:t>
      </w:r>
    </w:p>
    <w:p w:rsidRPr="00132657" w:rsidR="00987029" w:rsidP="007475C0" w:rsidRDefault="00987029" w14:paraId="493B09D0" w14:textId="77777777">
      <w:pPr>
        <w:pStyle w:val="ssPara"/>
        <w:sectPr w:rsidRPr="00132657" w:rsidR="00987029" w:rsidSect="002A0300">
          <w:footerReference w:type="even" r:id="rId19"/>
          <w:footerReference w:type="first" r:id="rId20"/>
          <w:pgSz w:w="11907" w:h="16839" w:code="9"/>
          <w:pgMar w:top="851" w:right="1191" w:bottom="851" w:left="1191" w:header="567" w:footer="624" w:gutter="0"/>
          <w:paperSrc w:first="7" w:other="7"/>
          <w:cols w:space="708"/>
          <w:docGrid w:linePitch="360"/>
        </w:sectPr>
      </w:pPr>
    </w:p>
    <w:p w:rsidRPr="002A0300" w:rsidR="002A0300" w:rsidP="002A0300" w:rsidRDefault="002A0300" w14:paraId="6030254F" w14:textId="77777777">
      <w:pPr>
        <w:numPr>
          <w:ilvl w:val="0"/>
          <w:numId w:val="6"/>
        </w:numPr>
        <w:tabs>
          <w:tab w:val="num" w:pos="360"/>
        </w:tabs>
        <w:spacing w:after="260"/>
        <w:rPr>
          <w:rFonts w:eastAsia="SimSun" w:cs="Arial"/>
          <w:lang w:eastAsia="zh-CN"/>
        </w:rPr>
      </w:pPr>
    </w:p>
    <w:p w:rsidRPr="002A0300" w:rsidR="002A0300" w:rsidP="002A0300" w:rsidRDefault="002A0300" w14:paraId="3214401C" w14:textId="77777777">
      <w:pPr>
        <w:spacing w:after="160" w:line="259" w:lineRule="auto"/>
        <w:ind w:left="-851"/>
        <w:jc w:val="center"/>
        <w:rPr>
          <w:rFonts w:eastAsia="SimSun" w:asciiTheme="minorBidi" w:hAnsiTheme="minorBidi"/>
          <w:b/>
          <w:noProof/>
          <w:lang w:eastAsia="zh-CN"/>
        </w:rPr>
      </w:pPr>
      <w:r w:rsidRPr="002A0300">
        <w:rPr>
          <w:rFonts w:eastAsia="SimSun" w:asciiTheme="minorBidi" w:hAnsiTheme="minorBidi"/>
          <w:b/>
          <w:noProof/>
          <w:lang w:eastAsia="zh-CN"/>
        </w:rPr>
        <w:t>Schedule 1</w:t>
      </w:r>
    </w:p>
    <w:p w:rsidRPr="002A0300" w:rsidR="002A0300" w:rsidP="002A0300" w:rsidRDefault="002A0300" w14:paraId="4DEC480A" w14:textId="77777777">
      <w:pPr>
        <w:spacing w:after="160" w:line="259" w:lineRule="auto"/>
        <w:ind w:left="-851"/>
        <w:jc w:val="center"/>
        <w:rPr>
          <w:rFonts w:eastAsia="SimSun" w:asciiTheme="minorBidi" w:hAnsiTheme="minorBidi"/>
          <w:b/>
          <w:i/>
          <w:noProof/>
          <w:lang w:eastAsia="zh-CN"/>
        </w:rPr>
      </w:pPr>
      <w:r w:rsidRPr="002A0300">
        <w:rPr>
          <w:rFonts w:eastAsia="SimSun" w:asciiTheme="minorBidi" w:hAnsiTheme="minorBidi"/>
          <w:b/>
          <w:noProof/>
          <w:lang w:eastAsia="zh-CN"/>
        </w:rPr>
        <w:t>Template pre-contractual disclosure for the financial products referred to in Article 8, paragraphs 1, 2 and 2a, of Regulation (EU) 2019/2088 and Article 6, first paragraph, of Regulation (EU) 2020/852</w:t>
      </w:r>
      <w:r w:rsidRPr="002A0300">
        <w:rPr>
          <w:rFonts w:eastAsia="SimSun" w:asciiTheme="minorBidi" w:hAnsiTheme="minorBidi"/>
          <w:b/>
          <w:i/>
          <w:noProof/>
          <w:lang w:eastAsia="zh-CN"/>
        </w:rPr>
        <w:t xml:space="preserve"> </w:t>
      </w:r>
    </w:p>
    <w:p w:rsidRPr="002A0300" w:rsidR="002A0300" w:rsidP="002A0300" w:rsidRDefault="002A0300" w14:paraId="7C94879D" w14:textId="77777777">
      <w:pPr>
        <w:tabs>
          <w:tab w:val="center" w:pos="4513"/>
          <w:tab w:val="right" w:pos="9026"/>
        </w:tabs>
        <w:rPr>
          <w:rFonts w:ascii="Calibri" w:hAnsi="Calibri" w:eastAsia="Calibri" w:cs="Times New Roman"/>
          <w:b/>
          <w:noProof/>
          <w:sz w:val="20"/>
          <w:lang w:val="en-US"/>
        </w:rPr>
      </w:pPr>
      <w:r w:rsidRPr="002A0300">
        <w:rPr>
          <w:rFonts w:ascii="Calibri" w:hAnsi="Calibri" w:eastAsia="Calibri" w:cs="Times New Roman"/>
          <w:b/>
          <w:noProof/>
          <w:lang w:eastAsia="zh-CN"/>
        </w:rPr>
        <mc:AlternateContent>
          <mc:Choice Requires="wps">
            <w:drawing>
              <wp:anchor distT="0" distB="0" distL="114300" distR="114300" simplePos="0" relativeHeight="251658258" behindDoc="0" locked="0" layoutInCell="1" allowOverlap="1" wp14:editId="66A831B0" wp14:anchorId="433F18D3">
                <wp:simplePos x="0" y="0"/>
                <wp:positionH relativeFrom="page">
                  <wp:align>left</wp:align>
                </wp:positionH>
                <wp:positionV relativeFrom="margin">
                  <wp:posOffset>1047115</wp:posOffset>
                </wp:positionV>
                <wp:extent cx="1231900" cy="2726055"/>
                <wp:effectExtent l="0" t="0" r="6350" b="0"/>
                <wp:wrapSquare wrapText="bothSides"/>
                <wp:docPr id="221" name="Rectangle 221"/>
                <wp:cNvGraphicFramePr/>
                <a:graphic xmlns:a="http://schemas.openxmlformats.org/drawingml/2006/main">
                  <a:graphicData uri="http://schemas.microsoft.com/office/word/2010/wordprocessingShape">
                    <wps:wsp>
                      <wps:cNvSpPr/>
                      <wps:spPr>
                        <a:xfrm>
                          <a:off x="0" y="0"/>
                          <a:ext cx="1231900" cy="2726055"/>
                        </a:xfrm>
                        <a:prstGeom prst="rect">
                          <a:avLst/>
                        </a:prstGeom>
                        <a:solidFill>
                          <a:sysClr val="window" lastClr="FFFFFF">
                            <a:lumMod val="95000"/>
                          </a:sysClr>
                        </a:solidFill>
                        <a:ln w="12700" cap="flat" cmpd="sng" algn="ctr">
                          <a:noFill/>
                          <a:prstDash val="solid"/>
                          <a:miter lim="800000"/>
                        </a:ln>
                        <a:effectLst/>
                      </wps:spPr>
                      <wps:txbx>
                        <w:txbxContent>
                          <w:p w:rsidR="002A0300" w:rsidP="002A0300" w:rsidRDefault="002A0300" w14:paraId="601B5AE1" w14:textId="77777777">
                            <w:pPr>
                              <w:ind w:left="-142" w:right="-268"/>
                              <w:rPr>
                                <w:rFonts w:cs="Calibri"/>
                                <w:bCs/>
                                <w:color w:val="000000"/>
                                <w:sz w:val="20"/>
                              </w:rPr>
                            </w:pPr>
                            <w:bookmarkStart w:name="_Hlk152587104" w:id="145"/>
                            <w:bookmarkEnd w:id="145"/>
                            <w:r w:rsidRPr="00AC5917">
                              <w:rPr>
                                <w:rFonts w:ascii="Calibri" w:hAnsi="Calibri" w:eastAsia="Calibri" w:cs="Calibri"/>
                                <w:b/>
                                <w:bCs/>
                                <w:sz w:val="20"/>
                              </w:rPr>
                              <w:t>Sustainable investment</w:t>
                            </w:r>
                            <w:r w:rsidRPr="009E0D79">
                              <w:rPr>
                                <w:rFonts w:ascii="Calibri" w:hAnsi="Calibri" w:eastAsia="Calibri" w:cs="Calibri"/>
                                <w:b/>
                                <w:bCs/>
                                <w:sz w:val="20"/>
                              </w:rPr>
                              <w:t xml:space="preserve"> </w:t>
                            </w:r>
                            <w:r w:rsidRPr="009E0D79">
                              <w:rPr>
                                <w:rFonts w:ascii="Calibri" w:hAnsi="Calibri" w:eastAsia="Calibri" w:cs="Calibri"/>
                                <w:sz w:val="20"/>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rsidR="002A0300" w:rsidP="002A0300" w:rsidRDefault="002A0300" w14:paraId="147A575D" w14:textId="77777777">
                            <w:pPr>
                              <w:rPr>
                                <w:rFonts w:cs="Calibri"/>
                                <w:bCs/>
                                <w:color w:val="000000"/>
                                <w:sz w:val="20"/>
                              </w:rPr>
                            </w:pPr>
                          </w:p>
                          <w:p w:rsidR="002A0300" w:rsidP="002A0300" w:rsidRDefault="002A0300" w14:paraId="347642AF" w14:textId="77777777">
                            <w:pPr>
                              <w:rPr>
                                <w:rFonts w:cs="Calibri"/>
                                <w:bCs/>
                                <w:color w:val="000000"/>
                                <w:sz w:val="20"/>
                              </w:rPr>
                            </w:pPr>
                          </w:p>
                          <w:p w:rsidR="002A0300" w:rsidP="002A0300" w:rsidRDefault="002A0300" w14:paraId="37E8FA62" w14:textId="77777777">
                            <w:pPr>
                              <w:rPr>
                                <w:rFonts w:cs="Calibri"/>
                                <w:bCs/>
                                <w:color w:val="000000"/>
                                <w:sz w:val="20"/>
                              </w:rPr>
                            </w:pPr>
                          </w:p>
                          <w:p w:rsidR="002A0300" w:rsidP="002A0300" w:rsidRDefault="002A0300" w14:paraId="7FDA4E06" w14:textId="77777777">
                            <w:pPr>
                              <w:rPr>
                                <w:rFonts w:cs="Calibri"/>
                                <w:bCs/>
                                <w:color w:val="000000"/>
                                <w:sz w:val="20"/>
                              </w:rPr>
                            </w:pPr>
                          </w:p>
                          <w:p w:rsidRPr="00776340" w:rsidR="002A0300" w:rsidP="002A0300" w:rsidRDefault="002A0300" w14:paraId="74F046DE" w14:textId="77777777">
                            <w:pPr>
                              <w:rPr>
                                <w:rFonts w:cs="Calibri"/>
                                <w:bCs/>
                                <w:color w:val="000000"/>
                                <w:sz w:val="20"/>
                              </w:rPr>
                            </w:pPr>
                          </w:p>
                          <w:p w:rsidRPr="007A7DCA" w:rsidR="002A0300" w:rsidP="002A0300" w:rsidRDefault="002A0300" w14:paraId="40DBBB3E" w14:textId="77777777">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1" style="position:absolute;left:0;text-align:left;margin-left:0;margin-top:82.45pt;width:97pt;height:214.65pt;z-index:25165825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spid="_x0000_s1026"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" w14:anchorId="433F18D3">
                <v:textbox inset="4mm,1mm,7mm">
                  <w:txbxContent>
                    <w:p w:rsidR="002A0300" w:rsidP="002A0300" w:rsidRDefault="002A0300" w14:paraId="601B5AE1" w14:textId="77777777">
                      <w:pPr>
                        <w:ind w:left="-142" w:right="-268"/>
                        <w:rPr>
                          <w:rFonts w:cs="Calibri"/>
                          <w:bCs/>
                          <w:color w:val="000000"/>
                          <w:sz w:val="20"/>
                        </w:rPr>
                      </w:pPr>
                      <w:bookmarkStart w:name="_Hlk152587104" w:id="146"/>
                      <w:bookmarkEnd w:id="146"/>
                      <w:r w:rsidRPr="00AC5917">
                        <w:rPr>
                          <w:rFonts w:ascii="Calibri" w:hAnsi="Calibri" w:eastAsia="Calibri" w:cs="Calibri"/>
                          <w:b/>
                          <w:bCs/>
                          <w:sz w:val="20"/>
                        </w:rPr>
                        <w:t>Sustainable investment</w:t>
                      </w:r>
                      <w:r w:rsidRPr="009E0D79">
                        <w:rPr>
                          <w:rFonts w:ascii="Calibri" w:hAnsi="Calibri" w:eastAsia="Calibri" w:cs="Calibri"/>
                          <w:b/>
                          <w:bCs/>
                          <w:sz w:val="20"/>
                        </w:rPr>
                        <w:t xml:space="preserve"> </w:t>
                      </w:r>
                      <w:r w:rsidRPr="009E0D79">
                        <w:rPr>
                          <w:rFonts w:ascii="Calibri" w:hAnsi="Calibri" w:eastAsia="Calibri" w:cs="Calibri"/>
                          <w:sz w:val="20"/>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rsidR="002A0300" w:rsidP="002A0300" w:rsidRDefault="002A0300" w14:paraId="147A575D" w14:textId="77777777">
                      <w:pPr>
                        <w:rPr>
                          <w:rFonts w:cs="Calibri"/>
                          <w:bCs/>
                          <w:color w:val="000000"/>
                          <w:sz w:val="20"/>
                        </w:rPr>
                      </w:pPr>
                    </w:p>
                    <w:p w:rsidR="002A0300" w:rsidP="002A0300" w:rsidRDefault="002A0300" w14:paraId="347642AF" w14:textId="77777777">
                      <w:pPr>
                        <w:rPr>
                          <w:rFonts w:cs="Calibri"/>
                          <w:bCs/>
                          <w:color w:val="000000"/>
                          <w:sz w:val="20"/>
                        </w:rPr>
                      </w:pPr>
                    </w:p>
                    <w:p w:rsidR="002A0300" w:rsidP="002A0300" w:rsidRDefault="002A0300" w14:paraId="37E8FA62" w14:textId="77777777">
                      <w:pPr>
                        <w:rPr>
                          <w:rFonts w:cs="Calibri"/>
                          <w:bCs/>
                          <w:color w:val="000000"/>
                          <w:sz w:val="20"/>
                        </w:rPr>
                      </w:pPr>
                    </w:p>
                    <w:p w:rsidR="002A0300" w:rsidP="002A0300" w:rsidRDefault="002A0300" w14:paraId="7FDA4E06" w14:textId="77777777">
                      <w:pPr>
                        <w:rPr>
                          <w:rFonts w:cs="Calibri"/>
                          <w:bCs/>
                          <w:color w:val="000000"/>
                          <w:sz w:val="20"/>
                        </w:rPr>
                      </w:pPr>
                    </w:p>
                    <w:p w:rsidRPr="00776340" w:rsidR="002A0300" w:rsidP="002A0300" w:rsidRDefault="002A0300" w14:paraId="74F046DE" w14:textId="77777777">
                      <w:pPr>
                        <w:rPr>
                          <w:rFonts w:cs="Calibri"/>
                          <w:bCs/>
                          <w:color w:val="000000"/>
                          <w:sz w:val="20"/>
                        </w:rPr>
                      </w:pPr>
                    </w:p>
                    <w:p w:rsidRPr="007A7DCA" w:rsidR="002A0300" w:rsidP="002A0300" w:rsidRDefault="002A0300" w14:paraId="40DBBB3E" w14:textId="77777777">
                      <w:pPr>
                        <w:rPr>
                          <w:color w:val="000000"/>
                        </w:rPr>
                      </w:pPr>
                    </w:p>
                  </w:txbxContent>
                </v:textbox>
                <w10:wrap type="square" anchorx="page" anchory="margin"/>
              </v:rect>
            </w:pict>
          </mc:Fallback>
        </mc:AlternateContent>
      </w:r>
    </w:p>
    <w:p w:rsidRPr="002A0300" w:rsidR="002A0300" w:rsidP="002A0300" w:rsidRDefault="002A0300" w14:paraId="69238606" w14:textId="77777777">
      <w:pPr>
        <w:tabs>
          <w:tab w:val="center" w:pos="4513"/>
          <w:tab w:val="right" w:pos="9026"/>
        </w:tabs>
        <w:ind w:left="-567"/>
        <w:rPr>
          <w:rFonts w:eastAsia="Calibri" w:asciiTheme="minorBidi" w:hAnsiTheme="minorBidi"/>
          <w:b/>
          <w:noProof/>
          <w:sz w:val="20"/>
          <w:lang w:val="en-US"/>
        </w:rPr>
      </w:pPr>
    </w:p>
    <w:p w:rsidRPr="002A0300" w:rsidR="002A0300" w:rsidP="002A0300" w:rsidRDefault="002A0300" w14:paraId="12D974EA" w14:textId="30BD0BB5">
      <w:pPr>
        <w:tabs>
          <w:tab w:val="center" w:pos="4513"/>
          <w:tab w:val="right" w:pos="9026"/>
        </w:tabs>
        <w:ind w:left="-567"/>
        <w:rPr>
          <w:rFonts w:eastAsia="Calibri" w:asciiTheme="minorBidi" w:hAnsiTheme="minorBidi"/>
          <w:b/>
          <w:noProof/>
          <w:sz w:val="20"/>
          <w:lang w:val="en-US"/>
        </w:rPr>
      </w:pPr>
      <w:r w:rsidRPr="002A0300">
        <w:rPr>
          <w:rFonts w:eastAsia="Calibri" w:asciiTheme="minorBidi" w:hAnsiTheme="minorBidi"/>
          <w:b/>
          <w:noProof/>
          <w:sz w:val="20"/>
          <w:lang w:val="en-US"/>
        </w:rPr>
        <w:t xml:space="preserve">Product name: </w:t>
      </w:r>
      <w:r w:rsidR="007E4371">
        <w:rPr>
          <w:rFonts w:eastAsia="Calibri" w:asciiTheme="minorBidi" w:hAnsiTheme="minorBidi"/>
          <w:b/>
          <w:noProof/>
          <w:sz w:val="20"/>
          <w:lang w:val="en-US"/>
        </w:rPr>
        <w:t>CO</w:t>
      </w:r>
      <w:r w:rsidRPr="002A0300">
        <w:rPr>
          <w:rFonts w:eastAsia="Calibri" w:asciiTheme="minorBidi" w:hAnsiTheme="minorBidi"/>
          <w:b/>
          <w:noProof/>
          <w:sz w:val="20"/>
          <w:lang w:val="en-US"/>
        </w:rPr>
        <w:t xml:space="preserve"> EURIZON SLJ EM BOND STRATEGIC INCOME UCITS ETF</w:t>
      </w:r>
      <w:r w:rsidRPr="002A0300">
        <w:rPr>
          <w:rFonts w:eastAsia="Calibri" w:asciiTheme="minorBidi" w:hAnsiTheme="minorBidi"/>
          <w:b/>
          <w:noProof/>
          <w:sz w:val="20"/>
          <w:lang w:val="en-US"/>
        </w:rPr>
        <w:tab/>
      </w:r>
    </w:p>
    <w:p w:rsidRPr="002A0300" w:rsidR="002A0300" w:rsidP="002A0300" w:rsidRDefault="002A0300" w14:paraId="3B66FB97" w14:textId="78983962">
      <w:pPr>
        <w:tabs>
          <w:tab w:val="center" w:pos="4513"/>
          <w:tab w:val="right" w:pos="9026"/>
        </w:tabs>
        <w:ind w:left="-567"/>
        <w:rPr>
          <w:rFonts w:eastAsia="Calibri" w:asciiTheme="minorBidi" w:hAnsiTheme="minorBidi"/>
          <w:b/>
          <w:noProof/>
          <w:sz w:val="20"/>
          <w:lang w:val="en-US"/>
        </w:rPr>
      </w:pPr>
      <w:r w:rsidRPr="002A0300">
        <w:rPr>
          <w:rFonts w:eastAsia="Calibri" w:asciiTheme="minorBidi" w:hAnsiTheme="minorBidi"/>
          <w:b/>
          <w:noProof/>
          <w:sz w:val="20"/>
          <w:lang w:val="en-US"/>
        </w:rPr>
        <w:t>Legal entity identifier:</w:t>
      </w:r>
      <w:r w:rsidR="00D20E7C">
        <w:rPr>
          <w:rFonts w:eastAsia="Calibri" w:asciiTheme="minorBidi" w:hAnsiTheme="minorBidi"/>
          <w:b/>
          <w:noProof/>
          <w:sz w:val="20"/>
          <w:lang w:val="en-US"/>
        </w:rPr>
        <w:t xml:space="preserve"> </w:t>
      </w:r>
      <w:r w:rsidRPr="00D20E7C" w:rsidR="00D20E7C">
        <w:rPr>
          <w:rFonts w:eastAsia="Calibri" w:asciiTheme="minorBidi" w:hAnsiTheme="minorBidi"/>
          <w:b/>
          <w:noProof/>
          <w:sz w:val="20"/>
          <w:lang w:val="en-US"/>
        </w:rPr>
        <w:t>213800ZNO4IK8XCVIK62</w:t>
      </w:r>
      <w:r w:rsidRPr="002A0300">
        <w:rPr>
          <w:rFonts w:eastAsia="Calibri" w:asciiTheme="minorBidi" w:hAnsiTheme="minorBidi"/>
          <w:b/>
          <w:noProof/>
          <w:sz w:val="20"/>
          <w:lang w:val="en-US"/>
        </w:rPr>
        <w:t xml:space="preserve"> </w:t>
      </w:r>
    </w:p>
    <w:p w:rsidRPr="002A0300" w:rsidR="002A0300" w:rsidP="002A0300" w:rsidRDefault="002A0300" w14:paraId="78CEADBD" w14:textId="77777777">
      <w:pPr>
        <w:tabs>
          <w:tab w:val="center" w:pos="4513"/>
          <w:tab w:val="right" w:pos="9026"/>
        </w:tabs>
        <w:rPr>
          <w:rFonts w:eastAsia="Calibri" w:asciiTheme="minorBidi" w:hAnsiTheme="minorBidi"/>
          <w:noProof/>
          <w:color w:val="C00000"/>
          <w:sz w:val="18"/>
          <w:szCs w:val="18"/>
          <w:lang w:val="en-US"/>
        </w:rPr>
      </w:pPr>
    </w:p>
    <w:p w:rsidRPr="002A0300" w:rsidR="002A0300" w:rsidP="002A0300" w:rsidRDefault="002A0300" w14:paraId="2BEC1C5B" w14:textId="77777777">
      <w:pPr>
        <w:tabs>
          <w:tab w:val="center" w:pos="4513"/>
          <w:tab w:val="right" w:pos="9026"/>
        </w:tabs>
        <w:ind w:left="-567"/>
        <w:jc w:val="center"/>
        <w:rPr>
          <w:rFonts w:eastAsia="Calibri" w:asciiTheme="minorBidi" w:hAnsiTheme="minorBidi"/>
          <w:b/>
          <w:bCs/>
          <w:noProof/>
          <w:color w:val="49AB74"/>
          <w:sz w:val="36"/>
          <w:szCs w:val="40"/>
        </w:rPr>
      </w:pPr>
      <w:r w:rsidRPr="002A0300">
        <w:rPr>
          <w:rFonts w:eastAsia="Calibri" w:asciiTheme="minorBidi" w:hAnsiTheme="minorBidi"/>
          <w:b/>
          <w:bCs/>
          <w:noProof/>
          <w:color w:val="49AB74"/>
          <w:sz w:val="36"/>
          <w:szCs w:val="40"/>
        </w:rPr>
        <w:t>Environmental and/or social characteristics</w:t>
      </w:r>
    </w:p>
    <w:p w:rsidRPr="002A0300" w:rsidR="002A0300" w:rsidP="002A0300" w:rsidRDefault="002A0300" w14:paraId="1C0889BB" w14:textId="77777777">
      <w:pPr>
        <w:spacing w:line="259" w:lineRule="auto"/>
        <w:rPr>
          <w:rFonts w:eastAsia="Calibri" w:asciiTheme="minorBidi" w:hAnsiTheme="minorBidi"/>
          <w:bCs/>
          <w:iCs/>
          <w:noProof/>
          <w:sz w:val="18"/>
        </w:rPr>
      </w:pPr>
    </w:p>
    <w:p w:rsidRPr="002A0300" w:rsidR="002A0300" w:rsidP="002A0300" w:rsidRDefault="002A0300" w14:paraId="0E988708" w14:textId="77777777">
      <w:pPr>
        <w:spacing w:line="259" w:lineRule="auto"/>
        <w:ind w:right="141"/>
        <w:rPr>
          <w:rFonts w:eastAsia="Calibri" w:asciiTheme="minorBidi" w:hAnsiTheme="minorBidi"/>
          <w:b/>
          <w:bCs/>
          <w:noProof/>
          <w:sz w:val="24"/>
          <w:szCs w:val="24"/>
        </w:rPr>
      </w:pPr>
      <w:r w:rsidRPr="002A0300">
        <w:rPr>
          <w:rFonts w:eastAsia="Calibri" w:asciiTheme="minorBidi" w:hAnsiTheme="minorBidi"/>
          <w:b/>
          <w:noProof/>
          <w:lang w:eastAsia="zh-CN"/>
        </w:rPr>
        <mc:AlternateContent>
          <mc:Choice Requires="wps">
            <w:drawing>
              <wp:anchor distT="0" distB="0" distL="114300" distR="114300" simplePos="0" relativeHeight="251658259" behindDoc="0" locked="0" layoutInCell="1" allowOverlap="1" wp14:editId="2418440E" wp14:anchorId="5D872160">
                <wp:simplePos x="0" y="0"/>
                <wp:positionH relativeFrom="page">
                  <wp:align>left</wp:align>
                </wp:positionH>
                <wp:positionV relativeFrom="margin">
                  <wp:posOffset>3828415</wp:posOffset>
                </wp:positionV>
                <wp:extent cx="1231900" cy="3106420"/>
                <wp:effectExtent l="0" t="0" r="6350" b="0"/>
                <wp:wrapSquare wrapText="bothSides"/>
                <wp:docPr id="37" name="Rectangle 37"/>
                <wp:cNvGraphicFramePr/>
                <a:graphic xmlns:a="http://schemas.openxmlformats.org/drawingml/2006/main">
                  <a:graphicData uri="http://schemas.microsoft.com/office/word/2010/wordprocessingShape">
                    <wps:wsp>
                      <wps:cNvSpPr/>
                      <wps:spPr>
                        <a:xfrm>
                          <a:off x="0" y="0"/>
                          <a:ext cx="1231900" cy="3106420"/>
                        </a:xfrm>
                        <a:prstGeom prst="rect">
                          <a:avLst/>
                        </a:prstGeom>
                        <a:solidFill>
                          <a:sysClr val="window" lastClr="FFFFFF">
                            <a:lumMod val="95000"/>
                          </a:sysClr>
                        </a:solidFill>
                        <a:ln w="12700" cap="flat" cmpd="sng" algn="ctr">
                          <a:noFill/>
                          <a:prstDash val="solid"/>
                          <a:miter lim="800000"/>
                        </a:ln>
                        <a:effectLst/>
                      </wps:spPr>
                      <wps:txbx>
                        <w:txbxContent>
                          <w:p w:rsidRPr="0005243D" w:rsidR="002A0300" w:rsidP="002A0300" w:rsidRDefault="002A0300" w14:paraId="48AB1875" w14:textId="77777777">
                            <w:pPr>
                              <w:ind w:left="-142" w:right="-295"/>
                              <w:rPr>
                                <w:rFonts w:asciiTheme="minorHAnsi" w:hAnsiTheme="minorHAnsi" w:cstheme="minorHAnsi"/>
                                <w:bCs/>
                                <w:color w:val="000000"/>
                                <w:sz w:val="20"/>
                              </w:rPr>
                            </w:pPr>
                            <w:r w:rsidRPr="006857A9">
                              <w:rPr>
                                <w:rFonts w:asciiTheme="minorHAnsi" w:hAnsiTheme="minorHAnsi" w:cstheme="minorHAnsi"/>
                                <w:bCs/>
                                <w:color w:val="000000"/>
                                <w:sz w:val="20"/>
                              </w:rPr>
                              <w:t xml:space="preserve">The </w:t>
                            </w:r>
                            <w:r w:rsidRPr="006857A9">
                              <w:rPr>
                                <w:rFonts w:asciiTheme="minorHAnsi" w:hAnsiTheme="minorHAnsi" w:cstheme="minorHAnsi"/>
                                <w:b/>
                                <w:bCs/>
                                <w:color w:val="000000"/>
                                <w:sz w:val="20"/>
                              </w:rPr>
                              <w:t xml:space="preserve">EU Taxonomy </w:t>
                            </w:r>
                            <w:r w:rsidRPr="006857A9">
                              <w:rPr>
                                <w:rFonts w:asciiTheme="minorHAnsi" w:hAnsiTheme="minorHAnsi" w:cstheme="minorHAnsi"/>
                                <w:bCs/>
                                <w:color w:val="000000"/>
                                <w:sz w:val="20"/>
                              </w:rPr>
                              <w:t>is 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Regulation (EU) 2020/852</w:t>
                            </w:r>
                            <w:r w:rsidRPr="006857A9">
                              <w:rPr>
                                <w:rFonts w:asciiTheme="minorHAnsi" w:hAnsiTheme="minorHAnsi" w:cstheme="minorHAnsi"/>
                                <w:bCs/>
                                <w:color w:val="000000"/>
                                <w:sz w:val="20"/>
                              </w:rPr>
                              <w:t xml:space="preserve">, establishing a list of </w:t>
                            </w:r>
                            <w:r w:rsidRPr="006857A9">
                              <w:rPr>
                                <w:rFonts w:asciiTheme="minorHAnsi" w:hAnsiTheme="minorHAnsi" w:cstheme="minorHAnsi"/>
                                <w:b/>
                                <w:bCs/>
                                <w:color w:val="000000"/>
                                <w:sz w:val="20"/>
                              </w:rPr>
                              <w:t xml:space="preserve">environmentally </w:t>
                            </w:r>
                            <w:r w:rsidRPr="004D38FB">
                              <w:rPr>
                                <w:rFonts w:asciiTheme="minorHAnsi" w:hAnsiTheme="minorHAnsi" w:cstheme="minorHAnsi"/>
                                <w:b/>
                                <w:bCs/>
                                <w:color w:val="000000"/>
                                <w:sz w:val="20"/>
                              </w:rPr>
                              <w:t>sustainable economic activities</w:t>
                            </w:r>
                            <w:r w:rsidRPr="006857A9">
                              <w:rPr>
                                <w:rFonts w:asciiTheme="minorHAnsi" w:hAnsiTheme="minorHAnsi" w:cstheme="minorHAnsi"/>
                                <w:bCs/>
                                <w:color w:val="000000"/>
                                <w:sz w:val="20"/>
                              </w:rPr>
                              <w:t xml:space="preserve">. </w:t>
                            </w:r>
                            <w:r>
                              <w:rPr>
                                <w:rFonts w:asciiTheme="minorHAnsi" w:hAnsiTheme="minorHAnsi" w:cstheme="minorHAnsi"/>
                                <w:bCs/>
                                <w:color w:val="000000"/>
                                <w:sz w:val="20"/>
                              </w:rPr>
                              <w:t>That Regulation</w:t>
                            </w:r>
                            <w:r w:rsidRPr="006857A9">
                              <w:rPr>
                                <w:rFonts w:asciiTheme="minorHAnsi" w:hAnsiTheme="minorHAnsi" w:cstheme="minorHAnsi"/>
                                <w:bCs/>
                                <w:color w:val="000000"/>
                                <w:sz w:val="20"/>
                              </w:rPr>
                              <w:t xml:space="preserve"> does not </w:t>
                            </w:r>
                            <w:r>
                              <w:rPr>
                                <w:rFonts w:asciiTheme="minorHAnsi" w:hAnsiTheme="minorHAnsi" w:cstheme="minorHAnsi"/>
                                <w:bCs/>
                                <w:color w:val="000000"/>
                                <w:sz w:val="20"/>
                              </w:rPr>
                              <w:t>include</w:t>
                            </w:r>
                            <w:r w:rsidRPr="006857A9">
                              <w:rPr>
                                <w:rFonts w:asciiTheme="minorHAnsi" w:hAnsiTheme="minorHAnsi" w:cstheme="minorHAnsi"/>
                                <w:bCs/>
                                <w:color w:val="000000"/>
                                <w:sz w:val="20"/>
                              </w:rPr>
                              <w:t xml:space="preserve"> a list of socially sustainable economic activities.</w:t>
                            </w:r>
                            <w:r>
                              <w:rPr>
                                <w:rFonts w:asciiTheme="minorHAnsi" w:hAnsiTheme="minorHAnsi" w:cstheme="minorHAnsi"/>
                                <w:bCs/>
                                <w:color w:val="000000"/>
                                <w:sz w:val="20"/>
                              </w:rPr>
                              <w:t xml:space="preserve">  S</w:t>
                            </w:r>
                            <w:r w:rsidRPr="006857A9">
                              <w:rPr>
                                <w:rFonts w:asciiTheme="minorHAnsi" w:hAnsiTheme="minorHAnsi" w:cstheme="minorHAnsi"/>
                                <w:bCs/>
                                <w:color w:val="000000"/>
                                <w:sz w:val="20"/>
                              </w:rPr>
                              <w:t xml:space="preserve">ustainable investments </w:t>
                            </w:r>
                            <w:r>
                              <w:rPr>
                                <w:rFonts w:asciiTheme="minorHAnsi" w:hAnsiTheme="minorHAnsi" w:cstheme="minorHAnsi"/>
                                <w:bCs/>
                                <w:color w:val="000000"/>
                                <w:sz w:val="20"/>
                              </w:rPr>
                              <w:t xml:space="preserve">with an environmental objective </w:t>
                            </w:r>
                            <w:r w:rsidRPr="006857A9">
                              <w:rPr>
                                <w:rFonts w:asciiTheme="minorHAnsi" w:hAnsiTheme="minorHAnsi" w:cstheme="minorHAnsi"/>
                                <w:bCs/>
                                <w:color w:val="000000"/>
                                <w:sz w:val="20"/>
                              </w:rPr>
                              <w:t xml:space="preserve">might be aligned with the Taxonomy or not.  </w:t>
                            </w:r>
                          </w:p>
                          <w:p w:rsidR="002A0300" w:rsidP="002A0300" w:rsidRDefault="002A0300" w14:paraId="66D61FA9" w14:textId="77777777">
                            <w:pPr>
                              <w:rPr>
                                <w:rFonts w:cs="Calibri"/>
                                <w:bCs/>
                                <w:color w:val="000000"/>
                                <w:sz w:val="20"/>
                              </w:rPr>
                            </w:pPr>
                          </w:p>
                          <w:p w:rsidR="002A0300" w:rsidP="002A0300" w:rsidRDefault="002A0300" w14:paraId="3F898A75" w14:textId="77777777">
                            <w:pPr>
                              <w:rPr>
                                <w:rFonts w:cs="Calibri"/>
                                <w:bCs/>
                                <w:color w:val="000000"/>
                                <w:sz w:val="20"/>
                              </w:rPr>
                            </w:pPr>
                          </w:p>
                          <w:p w:rsidR="002A0300" w:rsidP="002A0300" w:rsidRDefault="002A0300" w14:paraId="1A919235" w14:textId="77777777">
                            <w:pPr>
                              <w:rPr>
                                <w:rFonts w:cs="Calibri"/>
                                <w:bCs/>
                                <w:color w:val="000000"/>
                                <w:sz w:val="20"/>
                              </w:rPr>
                            </w:pPr>
                          </w:p>
                          <w:p w:rsidR="002A0300" w:rsidP="002A0300" w:rsidRDefault="002A0300" w14:paraId="5DA2BDB7" w14:textId="77777777">
                            <w:pPr>
                              <w:rPr>
                                <w:rFonts w:cs="Calibri"/>
                                <w:bCs/>
                                <w:color w:val="000000"/>
                                <w:sz w:val="20"/>
                              </w:rPr>
                            </w:pPr>
                          </w:p>
                          <w:p w:rsidRPr="00776340" w:rsidR="002A0300" w:rsidP="002A0300" w:rsidRDefault="002A0300" w14:paraId="4754F3BD" w14:textId="77777777">
                            <w:pPr>
                              <w:rPr>
                                <w:rFonts w:cs="Calibri"/>
                                <w:bCs/>
                                <w:color w:val="000000"/>
                                <w:sz w:val="20"/>
                              </w:rPr>
                            </w:pPr>
                          </w:p>
                          <w:p w:rsidRPr="007A7DCA" w:rsidR="002A0300" w:rsidP="002A0300" w:rsidRDefault="002A0300" w14:paraId="211786D5" w14:textId="77777777">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left:0;text-align:left;margin-left:0;margin-top:301.45pt;width:97pt;height:244.6pt;z-index:251658259;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spid="_x0000_s1027"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" w14:anchorId="5D872160">
                <v:textbox inset="4mm,1mm,7mm">
                  <w:txbxContent>
                    <w:p w:rsidRPr="0005243D" w:rsidR="002A0300" w:rsidP="002A0300" w:rsidRDefault="002A0300" w14:paraId="48AB1875" w14:textId="77777777">
                      <w:pPr>
                        <w:ind w:left="-142" w:right="-295"/>
                        <w:rPr>
                          <w:rFonts w:asciiTheme="minorHAnsi" w:hAnsiTheme="minorHAnsi" w:cstheme="minorHAnsi"/>
                          <w:bCs/>
                          <w:color w:val="000000"/>
                          <w:sz w:val="20"/>
                        </w:rPr>
                      </w:pPr>
                      <w:r w:rsidRPr="006857A9">
                        <w:rPr>
                          <w:rFonts w:asciiTheme="minorHAnsi" w:hAnsiTheme="minorHAnsi" w:cstheme="minorHAnsi"/>
                          <w:bCs/>
                          <w:color w:val="000000"/>
                          <w:sz w:val="20"/>
                        </w:rPr>
                        <w:t xml:space="preserve">The </w:t>
                      </w:r>
                      <w:r w:rsidRPr="006857A9">
                        <w:rPr>
                          <w:rFonts w:asciiTheme="minorHAnsi" w:hAnsiTheme="minorHAnsi" w:cstheme="minorHAnsi"/>
                          <w:b/>
                          <w:bCs/>
                          <w:color w:val="000000"/>
                          <w:sz w:val="20"/>
                        </w:rPr>
                        <w:t xml:space="preserve">EU Taxonomy </w:t>
                      </w:r>
                      <w:r w:rsidRPr="006857A9">
                        <w:rPr>
                          <w:rFonts w:asciiTheme="minorHAnsi" w:hAnsiTheme="minorHAnsi" w:cstheme="minorHAnsi"/>
                          <w:bCs/>
                          <w:color w:val="000000"/>
                          <w:sz w:val="20"/>
                        </w:rPr>
                        <w:t>is 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Regulation (EU) 2020/852</w:t>
                      </w:r>
                      <w:r w:rsidRPr="006857A9">
                        <w:rPr>
                          <w:rFonts w:asciiTheme="minorHAnsi" w:hAnsiTheme="minorHAnsi" w:cstheme="minorHAnsi"/>
                          <w:bCs/>
                          <w:color w:val="000000"/>
                          <w:sz w:val="20"/>
                        </w:rPr>
                        <w:t xml:space="preserve">, establishing a list of </w:t>
                      </w:r>
                      <w:r w:rsidRPr="006857A9">
                        <w:rPr>
                          <w:rFonts w:asciiTheme="minorHAnsi" w:hAnsiTheme="minorHAnsi" w:cstheme="minorHAnsi"/>
                          <w:b/>
                          <w:bCs/>
                          <w:color w:val="000000"/>
                          <w:sz w:val="20"/>
                        </w:rPr>
                        <w:t xml:space="preserve">environmentally </w:t>
                      </w:r>
                      <w:r w:rsidRPr="004D38FB">
                        <w:rPr>
                          <w:rFonts w:asciiTheme="minorHAnsi" w:hAnsiTheme="minorHAnsi" w:cstheme="minorHAnsi"/>
                          <w:b/>
                          <w:bCs/>
                          <w:color w:val="000000"/>
                          <w:sz w:val="20"/>
                        </w:rPr>
                        <w:t>sustainable economic activities</w:t>
                      </w:r>
                      <w:r w:rsidRPr="006857A9">
                        <w:rPr>
                          <w:rFonts w:asciiTheme="minorHAnsi" w:hAnsiTheme="minorHAnsi" w:cstheme="minorHAnsi"/>
                          <w:bCs/>
                          <w:color w:val="000000"/>
                          <w:sz w:val="20"/>
                        </w:rPr>
                        <w:t xml:space="preserve">. </w:t>
                      </w:r>
                      <w:r>
                        <w:rPr>
                          <w:rFonts w:asciiTheme="minorHAnsi" w:hAnsiTheme="minorHAnsi" w:cstheme="minorHAnsi"/>
                          <w:bCs/>
                          <w:color w:val="000000"/>
                          <w:sz w:val="20"/>
                        </w:rPr>
                        <w:t>That Regulation</w:t>
                      </w:r>
                      <w:r w:rsidRPr="006857A9">
                        <w:rPr>
                          <w:rFonts w:asciiTheme="minorHAnsi" w:hAnsiTheme="minorHAnsi" w:cstheme="minorHAnsi"/>
                          <w:bCs/>
                          <w:color w:val="000000"/>
                          <w:sz w:val="20"/>
                        </w:rPr>
                        <w:t xml:space="preserve"> does not </w:t>
                      </w:r>
                      <w:r>
                        <w:rPr>
                          <w:rFonts w:asciiTheme="minorHAnsi" w:hAnsiTheme="minorHAnsi" w:cstheme="minorHAnsi"/>
                          <w:bCs/>
                          <w:color w:val="000000"/>
                          <w:sz w:val="20"/>
                        </w:rPr>
                        <w:t>include</w:t>
                      </w:r>
                      <w:r w:rsidRPr="006857A9">
                        <w:rPr>
                          <w:rFonts w:asciiTheme="minorHAnsi" w:hAnsiTheme="minorHAnsi" w:cstheme="minorHAnsi"/>
                          <w:bCs/>
                          <w:color w:val="000000"/>
                          <w:sz w:val="20"/>
                        </w:rPr>
                        <w:t xml:space="preserve"> a list of socially sustainable economic activities.</w:t>
                      </w:r>
                      <w:r>
                        <w:rPr>
                          <w:rFonts w:asciiTheme="minorHAnsi" w:hAnsiTheme="minorHAnsi" w:cstheme="minorHAnsi"/>
                          <w:bCs/>
                          <w:color w:val="000000"/>
                          <w:sz w:val="20"/>
                        </w:rPr>
                        <w:t xml:space="preserve">  S</w:t>
                      </w:r>
                      <w:r w:rsidRPr="006857A9">
                        <w:rPr>
                          <w:rFonts w:asciiTheme="minorHAnsi" w:hAnsiTheme="minorHAnsi" w:cstheme="minorHAnsi"/>
                          <w:bCs/>
                          <w:color w:val="000000"/>
                          <w:sz w:val="20"/>
                        </w:rPr>
                        <w:t xml:space="preserve">ustainable investments </w:t>
                      </w:r>
                      <w:r>
                        <w:rPr>
                          <w:rFonts w:asciiTheme="minorHAnsi" w:hAnsiTheme="minorHAnsi" w:cstheme="minorHAnsi"/>
                          <w:bCs/>
                          <w:color w:val="000000"/>
                          <w:sz w:val="20"/>
                        </w:rPr>
                        <w:t xml:space="preserve">with an environmental objective </w:t>
                      </w:r>
                      <w:r w:rsidRPr="006857A9">
                        <w:rPr>
                          <w:rFonts w:asciiTheme="minorHAnsi" w:hAnsiTheme="minorHAnsi" w:cstheme="minorHAnsi"/>
                          <w:bCs/>
                          <w:color w:val="000000"/>
                          <w:sz w:val="20"/>
                        </w:rPr>
                        <w:t xml:space="preserve">might be aligned with the Taxonomy or not.  </w:t>
                      </w:r>
                    </w:p>
                    <w:p w:rsidR="002A0300" w:rsidP="002A0300" w:rsidRDefault="002A0300" w14:paraId="66D61FA9" w14:textId="77777777">
                      <w:pPr>
                        <w:rPr>
                          <w:rFonts w:cs="Calibri"/>
                          <w:bCs/>
                          <w:color w:val="000000"/>
                          <w:sz w:val="20"/>
                        </w:rPr>
                      </w:pPr>
                    </w:p>
                    <w:p w:rsidR="002A0300" w:rsidP="002A0300" w:rsidRDefault="002A0300" w14:paraId="3F898A75" w14:textId="77777777">
                      <w:pPr>
                        <w:rPr>
                          <w:rFonts w:cs="Calibri"/>
                          <w:bCs/>
                          <w:color w:val="000000"/>
                          <w:sz w:val="20"/>
                        </w:rPr>
                      </w:pPr>
                    </w:p>
                    <w:p w:rsidR="002A0300" w:rsidP="002A0300" w:rsidRDefault="002A0300" w14:paraId="1A919235" w14:textId="77777777">
                      <w:pPr>
                        <w:rPr>
                          <w:rFonts w:cs="Calibri"/>
                          <w:bCs/>
                          <w:color w:val="000000"/>
                          <w:sz w:val="20"/>
                        </w:rPr>
                      </w:pPr>
                    </w:p>
                    <w:p w:rsidR="002A0300" w:rsidP="002A0300" w:rsidRDefault="002A0300" w14:paraId="5DA2BDB7" w14:textId="77777777">
                      <w:pPr>
                        <w:rPr>
                          <w:rFonts w:cs="Calibri"/>
                          <w:bCs/>
                          <w:color w:val="000000"/>
                          <w:sz w:val="20"/>
                        </w:rPr>
                      </w:pPr>
                    </w:p>
                    <w:p w:rsidRPr="00776340" w:rsidR="002A0300" w:rsidP="002A0300" w:rsidRDefault="002A0300" w14:paraId="4754F3BD" w14:textId="77777777">
                      <w:pPr>
                        <w:rPr>
                          <w:rFonts w:cs="Calibri"/>
                          <w:bCs/>
                          <w:color w:val="000000"/>
                          <w:sz w:val="20"/>
                        </w:rPr>
                      </w:pPr>
                    </w:p>
                    <w:p w:rsidRPr="007A7DCA" w:rsidR="002A0300" w:rsidP="002A0300" w:rsidRDefault="002A0300" w14:paraId="211786D5" w14:textId="77777777">
                      <w:pPr>
                        <w:rPr>
                          <w:color w:val="000000"/>
                        </w:rPr>
                      </w:pPr>
                    </w:p>
                  </w:txbxContent>
                </v:textbox>
                <w10:wrap type="square" anchorx="page" anchory="margin"/>
              </v:rect>
            </w:pict>
          </mc:Fallback>
        </mc:AlternateContent>
      </w:r>
    </w:p>
    <w:tbl>
      <w:tblPr>
        <w:tblStyle w:val="TableGridLight1"/>
        <w:tblpPr w:leftFromText="180" w:rightFromText="180" w:vertAnchor="text" w:horzAnchor="page" w:tblpX="2137" w:tblpY="146"/>
        <w:tblW w:w="90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9"/>
        <w:gridCol w:w="5103"/>
        <w:gridCol w:w="7"/>
      </w:tblGrid>
      <w:tr w:rsidRPr="002A0300" w:rsidR="002A0300" w:rsidTr="00E11BE3" w14:paraId="47DBE3BE" w14:textId="77777777">
        <w:trPr>
          <w:trHeight w:val="394"/>
        </w:trPr>
        <w:tc>
          <w:tcPr>
            <w:tcW w:w="9079" w:type="dxa"/>
            <w:gridSpan w:val="3"/>
            <w:shd w:val="clear" w:color="auto" w:fill="F6D1AC"/>
          </w:tcPr>
          <w:p w:rsidRPr="002A0300" w:rsidR="002A0300" w:rsidP="002A0300" w:rsidRDefault="002A0300" w14:paraId="0C80E4F3" w14:textId="77777777">
            <w:pPr>
              <w:spacing w:line="259" w:lineRule="auto"/>
              <w:ind w:right="141"/>
              <w:rPr>
                <w:rFonts w:eastAsia="Calibri" w:cs="Times New Roman" w:asciiTheme="minorBidi" w:hAnsiTheme="minorBidi"/>
                <w:b/>
                <w:bCs/>
                <w:noProof/>
                <w:szCs w:val="24"/>
              </w:rPr>
            </w:pPr>
            <w:r w:rsidRPr="002A0300">
              <w:rPr>
                <w:rFonts w:eastAsia="Calibri" w:cs="Times New Roman" w:asciiTheme="minorBidi" w:hAnsiTheme="minorBidi"/>
                <w:b/>
                <w:bCs/>
                <w:noProof/>
                <w:szCs w:val="24"/>
              </w:rPr>
              <w:t xml:space="preserve">Does this financial product have a sustainable investment objective? </w:t>
            </w:r>
          </w:p>
        </w:tc>
      </w:tr>
      <w:tr w:rsidRPr="002A0300" w:rsidR="002A0300" w:rsidTr="00E11BE3" w14:paraId="77AC2673" w14:textId="77777777">
        <w:trPr>
          <w:gridAfter w:val="1"/>
          <w:wAfter w:w="7" w:type="dxa"/>
          <w:trHeight w:val="394"/>
        </w:trPr>
        <w:tc>
          <w:tcPr>
            <w:tcW w:w="3969" w:type="dxa"/>
            <w:shd w:val="clear" w:color="auto" w:fill="F6D1AC"/>
          </w:tcPr>
          <w:p w:rsidRPr="002A0300" w:rsidR="002A0300" w:rsidP="002A0300" w:rsidRDefault="002A0300" w14:paraId="59BCC2F8" w14:textId="77777777">
            <w:pPr>
              <w:spacing w:after="160" w:line="259" w:lineRule="auto"/>
              <w:ind w:left="737"/>
              <w:rPr>
                <w:rFonts w:eastAsia="Calibri" w:cs="Times New Roman" w:asciiTheme="minorBidi" w:hAnsiTheme="minorBidi"/>
                <w:b/>
                <w:noProof/>
                <w:sz w:val="20"/>
                <w:lang w:eastAsia="zh-CN"/>
              </w:rPr>
            </w:pPr>
            <w:r w:rsidRPr="002A0300">
              <w:rPr>
                <w:rFonts w:eastAsia="Calibri" w:cs="Times New Roman" w:asciiTheme="minorBidi" w:hAnsiTheme="minorBidi"/>
                <w:b/>
                <w:noProof/>
                <w:lang w:eastAsia="zh-CN"/>
              </w:rPr>
              <mc:AlternateContent>
                <mc:Choice Requires="wps">
                  <w:drawing>
                    <wp:anchor distT="0" distB="0" distL="114300" distR="114300" simplePos="0" relativeHeight="251658269" behindDoc="0" locked="0" layoutInCell="1" allowOverlap="1" wp14:editId="23F40D79" wp14:anchorId="51F7A14E">
                      <wp:simplePos x="0" y="0"/>
                      <wp:positionH relativeFrom="column">
                        <wp:posOffset>344414</wp:posOffset>
                      </wp:positionH>
                      <wp:positionV relativeFrom="paragraph">
                        <wp:posOffset>586</wp:posOffset>
                      </wp:positionV>
                      <wp:extent cx="179705" cy="193675"/>
                      <wp:effectExtent l="0" t="0" r="10795" b="15875"/>
                      <wp:wrapSquare wrapText="bothSides"/>
                      <wp:docPr id="243" name="Rectangle 24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3" style="position:absolute;margin-left:27.1pt;margin-top:.05pt;width:14.15pt;height:15.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w14:anchorId="7B8F6322">
                      <w10:wrap type="square"/>
                    </v:rect>
                  </w:pict>
                </mc:Fallback>
              </mc:AlternateContent>
            </w:r>
            <w:r w:rsidRPr="002A0300">
              <w:rPr>
                <w:rFonts w:eastAsia="Calibri" w:cs="Times New Roman" w:asciiTheme="minorBidi" w:hAnsiTheme="minorBidi"/>
                <w:b/>
                <w:noProof/>
                <w:lang w:eastAsia="zh-CN"/>
              </w:rPr>
              <mc:AlternateContent>
                <mc:Choice Requires="wps">
                  <w:drawing>
                    <wp:anchor distT="0" distB="0" distL="114300" distR="114300" simplePos="0" relativeHeight="251658272" behindDoc="0" locked="0" layoutInCell="1" allowOverlap="1" wp14:editId="24682706" wp14:anchorId="64B59027">
                      <wp:simplePos x="0" y="0"/>
                      <wp:positionH relativeFrom="column">
                        <wp:posOffset>16510</wp:posOffset>
                      </wp:positionH>
                      <wp:positionV relativeFrom="paragraph">
                        <wp:posOffset>44029</wp:posOffset>
                      </wp:positionV>
                      <wp:extent cx="101600" cy="101600"/>
                      <wp:effectExtent l="0" t="0" r="0" b="0"/>
                      <wp:wrapNone/>
                      <wp:docPr id="972" name="Oval 972"/>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72" style="position:absolute;margin-left:1.3pt;margin-top:3.45pt;width:8pt;height:8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ab05d"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w14:anchorId="3B0D67A7">
                      <v:stroke joinstyle="miter"/>
                    </v:oval>
                  </w:pict>
                </mc:Fallback>
              </mc:AlternateContent>
            </w:r>
            <w:r w:rsidRPr="002A0300">
              <w:rPr>
                <w:rFonts w:eastAsia="Calibri" w:cs="Times New Roman" w:asciiTheme="minorBidi" w:hAnsiTheme="minorBidi"/>
                <w:b/>
                <w:noProof/>
                <w:lang w:eastAsia="zh-CN"/>
              </w:rPr>
              <mc:AlternateContent>
                <mc:Choice Requires="wps">
                  <w:drawing>
                    <wp:anchor distT="0" distB="0" distL="114300" distR="114300" simplePos="0" relativeHeight="251658268" behindDoc="0" locked="0" layoutInCell="1" allowOverlap="1" wp14:editId="0A57F06F" wp14:anchorId="4AADD883">
                      <wp:simplePos x="0" y="0"/>
                      <wp:positionH relativeFrom="column">
                        <wp:posOffset>151567</wp:posOffset>
                      </wp:positionH>
                      <wp:positionV relativeFrom="paragraph">
                        <wp:posOffset>46273</wp:posOffset>
                      </wp:positionV>
                      <wp:extent cx="101600" cy="101600"/>
                      <wp:effectExtent l="0" t="0" r="0" b="0"/>
                      <wp:wrapNone/>
                      <wp:docPr id="236" name="Oval 23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6" style="position:absolute;margin-left:11.95pt;margin-top:3.65pt;width:8pt;height: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ab05d"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w14:anchorId="1EA5938E">
                      <v:stroke joinstyle="miter"/>
                    </v:oval>
                  </w:pict>
                </mc:Fallback>
              </mc:AlternateContent>
            </w:r>
            <w:r w:rsidRPr="002A0300">
              <w:rPr>
                <w:rFonts w:eastAsia="Calibri" w:cs="Times New Roman" w:asciiTheme="minorBidi" w:hAnsiTheme="minorBidi"/>
                <w:b/>
                <w:noProof/>
              </w:rPr>
              <w:t>Yes</w:t>
            </w:r>
          </w:p>
        </w:tc>
        <w:tc>
          <w:tcPr>
            <w:tcW w:w="5103" w:type="dxa"/>
            <w:shd w:val="clear" w:color="auto" w:fill="F6D1AC"/>
          </w:tcPr>
          <w:p w:rsidRPr="002A0300" w:rsidR="002A0300" w:rsidP="002A0300" w:rsidRDefault="002A0300" w14:paraId="399080DB" w14:textId="77777777">
            <w:pPr>
              <w:spacing w:line="259" w:lineRule="auto"/>
              <w:ind w:right="141"/>
              <w:rPr>
                <w:rFonts w:eastAsia="Calibri" w:cs="Times New Roman" w:asciiTheme="minorBidi" w:hAnsiTheme="minorBidi"/>
                <w:b/>
                <w:bCs/>
                <w:noProof/>
                <w:szCs w:val="24"/>
              </w:rPr>
            </w:pPr>
            <w:r w:rsidRPr="002A0300">
              <w:rPr>
                <w:rFonts w:eastAsia="SimSun" w:cs="Times New Roman" w:asciiTheme="minorBidi" w:hAnsiTheme="minorBidi"/>
                <w:noProof/>
                <w:lang w:eastAsia="zh-CN"/>
              </w:rPr>
              <w:drawing>
                <wp:anchor distT="0" distB="0" distL="114300" distR="114300" simplePos="0" relativeHeight="251658298" behindDoc="0" locked="0" layoutInCell="1" allowOverlap="1" wp14:editId="6DAC589D" wp14:anchorId="6AAF99CE">
                  <wp:simplePos x="0" y="0"/>
                  <wp:positionH relativeFrom="column">
                    <wp:posOffset>339090</wp:posOffset>
                  </wp:positionH>
                  <wp:positionV relativeFrom="paragraph">
                    <wp:posOffset>26670</wp:posOffset>
                  </wp:positionV>
                  <wp:extent cx="124460" cy="124460"/>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2A0300">
              <w:rPr>
                <w:rFonts w:eastAsia="Calibri" w:cs="Times New Roman" w:asciiTheme="minorBidi" w:hAnsiTheme="minorBidi"/>
                <w:b/>
                <w:noProof/>
                <w:sz w:val="18"/>
                <w:lang w:eastAsia="zh-CN"/>
              </w:rPr>
              <mc:AlternateContent>
                <mc:Choice Requires="wps">
                  <w:drawing>
                    <wp:anchor distT="0" distB="0" distL="114300" distR="114300" simplePos="0" relativeHeight="251658267" behindDoc="0" locked="0" layoutInCell="1" allowOverlap="1" wp14:editId="60B1A6BE" wp14:anchorId="07D064A4">
                      <wp:simplePos x="0" y="0"/>
                      <wp:positionH relativeFrom="column">
                        <wp:posOffset>8255</wp:posOffset>
                      </wp:positionH>
                      <wp:positionV relativeFrom="paragraph">
                        <wp:posOffset>53340</wp:posOffset>
                      </wp:positionV>
                      <wp:extent cx="101600" cy="101600"/>
                      <wp:effectExtent l="0" t="0" r="0" b="0"/>
                      <wp:wrapNone/>
                      <wp:docPr id="226" name="Oval 22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6" style="position:absolute;margin-left:.65pt;margin-top:4.2pt;width:8pt;height: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ab05d"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w14:anchorId="0949E2D7">
                      <v:stroke joinstyle="miter"/>
                    </v:oval>
                  </w:pict>
                </mc:Fallback>
              </mc:AlternateContent>
            </w:r>
            <w:r w:rsidRPr="002A0300">
              <w:rPr>
                <w:rFonts w:eastAsia="Calibri" w:cs="Times New Roman" w:asciiTheme="minorBidi" w:hAnsiTheme="minorBidi"/>
                <w:b/>
                <w:noProof/>
                <w:sz w:val="20"/>
                <w:lang w:eastAsia="zh-CN"/>
              </w:rPr>
              <mc:AlternateContent>
                <mc:Choice Requires="wps">
                  <w:drawing>
                    <wp:anchor distT="0" distB="0" distL="114300" distR="114300" simplePos="0" relativeHeight="251658270" behindDoc="0" locked="0" layoutInCell="1" allowOverlap="1" wp14:editId="091B27D0" wp14:anchorId="1A56A596">
                      <wp:simplePos x="0" y="0"/>
                      <wp:positionH relativeFrom="column">
                        <wp:posOffset>335280</wp:posOffset>
                      </wp:positionH>
                      <wp:positionV relativeFrom="paragraph">
                        <wp:posOffset>0</wp:posOffset>
                      </wp:positionV>
                      <wp:extent cx="179705" cy="193675"/>
                      <wp:effectExtent l="0" t="0" r="10795" b="15875"/>
                      <wp:wrapSquare wrapText="bothSides"/>
                      <wp:docPr id="245" name="Rectangle 24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5" style="position:absolute;margin-left:26.4pt;margin-top:0;width:14.15pt;height:15.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w14:anchorId="4CBC82D2">
                      <w10:wrap type="square"/>
                    </v:rect>
                  </w:pict>
                </mc:Fallback>
              </mc:AlternateContent>
            </w:r>
            <w:r w:rsidRPr="002A0300">
              <w:rPr>
                <w:rFonts w:eastAsia="Calibri" w:cs="Times New Roman" w:asciiTheme="minorBidi" w:hAnsiTheme="minorBidi"/>
                <w:b/>
                <w:noProof/>
                <w:color w:val="000000"/>
                <w:sz w:val="20"/>
                <w:lang w:eastAsia="zh-CN"/>
              </w:rPr>
              <mc:AlternateContent>
                <mc:Choice Requires="wps">
                  <w:drawing>
                    <wp:anchor distT="0" distB="0" distL="114300" distR="114300" simplePos="0" relativeHeight="251658266" behindDoc="0" locked="0" layoutInCell="1" allowOverlap="1" wp14:editId="4979C4B1" wp14:anchorId="71D31281">
                      <wp:simplePos x="0" y="0"/>
                      <wp:positionH relativeFrom="column">
                        <wp:posOffset>143510</wp:posOffset>
                      </wp:positionH>
                      <wp:positionV relativeFrom="paragraph">
                        <wp:posOffset>52705</wp:posOffset>
                      </wp:positionV>
                      <wp:extent cx="101600" cy="101600"/>
                      <wp:effectExtent l="0" t="0" r="0" b="0"/>
                      <wp:wrapNone/>
                      <wp:docPr id="230" name="Oval 230"/>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0" style="position:absolute;margin-left:11.3pt;margin-top:4.15pt;width:8pt;height: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w14:anchorId="1AE7A538">
                      <v:stroke joinstyle="miter"/>
                    </v:oval>
                  </w:pict>
                </mc:Fallback>
              </mc:AlternateContent>
            </w:r>
            <w:r w:rsidRPr="002A0300">
              <w:rPr>
                <w:rFonts w:eastAsia="Calibri" w:cs="Times New Roman" w:asciiTheme="minorBidi" w:hAnsiTheme="minorBidi"/>
                <w:b/>
                <w:bCs/>
                <w:noProof/>
                <w:szCs w:val="24"/>
              </w:rPr>
              <w:t>No</w:t>
            </w:r>
          </w:p>
        </w:tc>
      </w:tr>
      <w:tr w:rsidRPr="002A0300" w:rsidR="002A0300" w:rsidTr="00E11BE3" w14:paraId="3485A5EE" w14:textId="77777777">
        <w:trPr>
          <w:gridAfter w:val="1"/>
          <w:wAfter w:w="7" w:type="dxa"/>
          <w:trHeight w:val="2486"/>
        </w:trPr>
        <w:tc>
          <w:tcPr>
            <w:tcW w:w="3969" w:type="dxa"/>
            <w:tcBorders>
              <w:right w:val="single" w:color="D9D9D9" w:themeColor="background1" w:themeShade="D9" w:sz="2" w:space="0"/>
            </w:tcBorders>
            <w:shd w:val="clear" w:color="auto" w:fill="FAE8D5"/>
          </w:tcPr>
          <w:p w:rsidRPr="002A0300" w:rsidR="002A0300" w:rsidP="002A0300" w:rsidRDefault="002A0300" w14:paraId="224C0244" w14:textId="77777777">
            <w:pPr>
              <w:spacing w:line="259" w:lineRule="auto"/>
              <w:ind w:left="459"/>
              <w:rPr>
                <w:rFonts w:eastAsia="Calibri" w:cs="Times New Roman" w:asciiTheme="minorBidi" w:hAnsiTheme="minorBidi"/>
                <w:bCs/>
                <w:noProof/>
                <w:color w:val="595959"/>
                <w:sz w:val="20"/>
                <w:szCs w:val="24"/>
              </w:rPr>
            </w:pPr>
            <w:r w:rsidRPr="002A0300">
              <w:rPr>
                <w:rFonts w:eastAsia="Calibri" w:cs="Times New Roman" w:asciiTheme="minorBidi" w:hAnsiTheme="minorBidi"/>
                <w:b/>
                <w:noProof/>
                <w:color w:val="595959"/>
                <w:sz w:val="20"/>
                <w:lang w:eastAsia="zh-CN"/>
              </w:rPr>
              <mc:AlternateContent>
                <mc:Choice Requires="wps">
                  <w:drawing>
                    <wp:anchor distT="0" distB="0" distL="114300" distR="114300" simplePos="0" relativeHeight="251658275" behindDoc="0" locked="0" layoutInCell="1" allowOverlap="1" wp14:editId="22148495" wp14:anchorId="5F7B8E72">
                      <wp:simplePos x="0" y="0"/>
                      <wp:positionH relativeFrom="column">
                        <wp:posOffset>-32385</wp:posOffset>
                      </wp:positionH>
                      <wp:positionV relativeFrom="paragraph">
                        <wp:posOffset>51435</wp:posOffset>
                      </wp:positionV>
                      <wp:extent cx="179705" cy="193675"/>
                      <wp:effectExtent l="0" t="0" r="10795" b="15875"/>
                      <wp:wrapSquare wrapText="bothSides"/>
                      <wp:docPr id="210"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0" style="position:absolute;margin-left:-2.55pt;margin-top:4.05pt;width:14.15pt;height:15.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" w14:anchorId="1371D580">
                      <w10:wrap type="square"/>
                    </v:rect>
                  </w:pict>
                </mc:Fallback>
              </mc:AlternateContent>
            </w:r>
            <w:r w:rsidRPr="002A0300">
              <w:rPr>
                <w:rFonts w:eastAsia="Calibri" w:cs="Times New Roman" w:asciiTheme="minorBidi" w:hAnsiTheme="minorBidi"/>
                <w:bCs/>
                <w:noProof/>
                <w:color w:val="595959"/>
                <w:szCs w:val="24"/>
              </w:rPr>
              <w:t xml:space="preserve">It will make a minimum of </w:t>
            </w:r>
            <w:r w:rsidRPr="002A0300">
              <w:rPr>
                <w:rFonts w:eastAsia="Calibri" w:cs="Times New Roman" w:asciiTheme="minorBidi" w:hAnsiTheme="minorBidi"/>
                <w:b/>
                <w:bCs/>
                <w:noProof/>
                <w:color w:val="595959"/>
                <w:szCs w:val="24"/>
              </w:rPr>
              <w:t xml:space="preserve">sustainable investments with an environmental objective: </w:t>
            </w:r>
            <w:r w:rsidRPr="002A0300">
              <w:rPr>
                <w:rFonts w:eastAsia="Calibri" w:cs="Times New Roman" w:asciiTheme="minorBidi" w:hAnsiTheme="minorBidi"/>
                <w:bCs/>
                <w:noProof/>
                <w:color w:val="595959"/>
                <w:sz w:val="20"/>
                <w:szCs w:val="24"/>
              </w:rPr>
              <w:t>___%</w:t>
            </w:r>
          </w:p>
          <w:p w:rsidRPr="002A0300" w:rsidR="002A0300" w:rsidP="002A0300" w:rsidRDefault="002A0300" w14:paraId="58FFA12D" w14:textId="77777777">
            <w:pPr>
              <w:spacing w:line="259" w:lineRule="auto"/>
              <w:ind w:left="318"/>
              <w:rPr>
                <w:rFonts w:eastAsia="Calibri" w:cs="Times New Roman" w:asciiTheme="minorBidi" w:hAnsiTheme="minorBidi"/>
                <w:bCs/>
                <w:noProof/>
                <w:color w:val="595959"/>
                <w:sz w:val="16"/>
                <w:szCs w:val="16"/>
              </w:rPr>
            </w:pPr>
          </w:p>
          <w:p w:rsidRPr="002A0300" w:rsidR="002A0300" w:rsidP="002A0300" w:rsidRDefault="002A0300" w14:paraId="61D71735" w14:textId="77777777">
            <w:pPr>
              <w:spacing w:after="160" w:line="259" w:lineRule="auto"/>
              <w:ind w:left="1167" w:hanging="8"/>
              <w:rPr>
                <w:rFonts w:eastAsia="Calibri" w:cs="Times New Roman" w:asciiTheme="minorBidi" w:hAnsiTheme="minorBidi"/>
                <w:bCs/>
                <w:noProof/>
                <w:color w:val="595959"/>
                <w:sz w:val="20"/>
                <w:szCs w:val="24"/>
              </w:rPr>
            </w:pPr>
            <w:r w:rsidRPr="002A0300">
              <w:rPr>
                <w:rFonts w:eastAsia="Calibri" w:cs="Times New Roman" w:asciiTheme="minorBidi" w:hAnsiTheme="minorBidi"/>
                <w:b/>
                <w:noProof/>
                <w:color w:val="595959"/>
                <w:sz w:val="18"/>
                <w:lang w:eastAsia="zh-CN"/>
              </w:rPr>
              <mc:AlternateContent>
                <mc:Choice Requires="wps">
                  <w:drawing>
                    <wp:anchor distT="0" distB="0" distL="114300" distR="114300" simplePos="0" relativeHeight="251658277" behindDoc="0" locked="0" layoutInCell="1" allowOverlap="1" wp14:editId="0E5770E5" wp14:anchorId="082F0174">
                      <wp:simplePos x="0" y="0"/>
                      <wp:positionH relativeFrom="column">
                        <wp:posOffset>436938</wp:posOffset>
                      </wp:positionH>
                      <wp:positionV relativeFrom="paragraph">
                        <wp:posOffset>43180</wp:posOffset>
                      </wp:positionV>
                      <wp:extent cx="179705" cy="193675"/>
                      <wp:effectExtent l="0" t="0" r="10795" b="15875"/>
                      <wp:wrapSquare wrapText="bothSides"/>
                      <wp:docPr id="211" name="Rectangle 211"/>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1" style="position:absolute;margin-left:34.4pt;margin-top:3.4pt;width:14.15pt;height:15.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" w14:anchorId="52AC1130">
                      <w10:wrap type="square"/>
                    </v:rect>
                  </w:pict>
                </mc:Fallback>
              </mc:AlternateContent>
            </w:r>
            <w:r w:rsidRPr="002A0300">
              <w:rPr>
                <w:rFonts w:eastAsia="Calibri" w:cs="Times New Roman" w:asciiTheme="minorBidi" w:hAnsiTheme="minorBidi"/>
                <w:bCs/>
                <w:noProof/>
                <w:color w:val="595959"/>
                <w:sz w:val="20"/>
                <w:szCs w:val="24"/>
              </w:rPr>
              <w:t>in economic activities that qualify as environmentally sustainable under the EU Taxonomy</w:t>
            </w:r>
          </w:p>
          <w:p w:rsidRPr="002A0300" w:rsidR="002A0300" w:rsidP="002A0300" w:rsidRDefault="002A0300" w14:paraId="13A2409F" w14:textId="77777777">
            <w:pPr>
              <w:spacing w:after="160" w:line="259" w:lineRule="auto"/>
              <w:ind w:left="1167"/>
              <w:rPr>
                <w:rFonts w:eastAsia="Calibri" w:cs="Times New Roman" w:asciiTheme="minorBidi" w:hAnsiTheme="minorBidi"/>
                <w:bCs/>
                <w:noProof/>
                <w:color w:val="595959"/>
                <w:sz w:val="20"/>
                <w:szCs w:val="24"/>
              </w:rPr>
            </w:pPr>
            <w:r w:rsidRPr="002A0300">
              <w:rPr>
                <w:rFonts w:eastAsia="Calibri" w:cs="Times New Roman" w:asciiTheme="minorBidi" w:hAnsiTheme="minorBidi"/>
                <w:noProof/>
                <w:color w:val="595959"/>
                <w:sz w:val="16"/>
                <w:lang w:eastAsia="zh-CN"/>
              </w:rPr>
              <mc:AlternateContent>
                <mc:Choice Requires="wps">
                  <w:drawing>
                    <wp:anchor distT="0" distB="0" distL="114300" distR="114300" simplePos="0" relativeHeight="251658276" behindDoc="0" locked="0" layoutInCell="1" allowOverlap="1" wp14:editId="59AAAD71" wp14:anchorId="4B92CC0B">
                      <wp:simplePos x="0" y="0"/>
                      <wp:positionH relativeFrom="column">
                        <wp:posOffset>435552</wp:posOffset>
                      </wp:positionH>
                      <wp:positionV relativeFrom="paragraph">
                        <wp:posOffset>24188</wp:posOffset>
                      </wp:positionV>
                      <wp:extent cx="179705" cy="193675"/>
                      <wp:effectExtent l="0" t="0" r="10795" b="15875"/>
                      <wp:wrapSquare wrapText="bothSides"/>
                      <wp:docPr id="212" name="Rectangle 21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2" style="position:absolute;margin-left:34.3pt;margin-top:1.9pt;width:14.15pt;height:15.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" w14:anchorId="7AB3BEA9">
                      <w10:wrap type="square"/>
                    </v:rect>
                  </w:pict>
                </mc:Fallback>
              </mc:AlternateContent>
            </w:r>
            <w:r w:rsidRPr="002A0300">
              <w:rPr>
                <w:rFonts w:eastAsia="Calibri" w:cs="Times New Roman" w:asciiTheme="minorBidi" w:hAnsiTheme="minorBidi"/>
                <w:bCs/>
                <w:noProof/>
                <w:color w:val="595959"/>
                <w:sz w:val="20"/>
                <w:szCs w:val="24"/>
              </w:rPr>
              <w:t>in economic activities that do not qualify as environmentally sustainable under the EU Taxonomy</w:t>
            </w:r>
          </w:p>
          <w:p w:rsidRPr="002A0300" w:rsidR="002A0300" w:rsidP="002A0300" w:rsidRDefault="002A0300" w14:paraId="5295CA9C" w14:textId="77777777">
            <w:pPr>
              <w:spacing w:after="160" w:line="259" w:lineRule="auto"/>
              <w:ind w:left="1310"/>
              <w:rPr>
                <w:rFonts w:eastAsia="Calibri" w:cs="Times New Roman" w:asciiTheme="minorBidi" w:hAnsiTheme="minorBidi"/>
                <w:bCs/>
                <w:noProof/>
                <w:color w:val="595959"/>
                <w:sz w:val="20"/>
                <w:szCs w:val="24"/>
              </w:rPr>
            </w:pPr>
          </w:p>
        </w:tc>
        <w:tc>
          <w:tcPr>
            <w:tcW w:w="5103" w:type="dxa"/>
            <w:tcBorders>
              <w:left w:val="single" w:color="D9D9D9" w:themeColor="background1" w:themeShade="D9" w:sz="2" w:space="0"/>
            </w:tcBorders>
            <w:shd w:val="clear" w:color="auto" w:fill="FAE8D5"/>
          </w:tcPr>
          <w:p w:rsidRPr="002A0300" w:rsidR="002A0300" w:rsidP="002A0300" w:rsidRDefault="002A0300" w14:paraId="578A9B03" w14:textId="77777777">
            <w:pPr>
              <w:ind w:left="456" w:right="-144"/>
              <w:rPr>
                <w:rFonts w:eastAsia="Calibri" w:cs="Times New Roman" w:asciiTheme="minorBidi" w:hAnsiTheme="minorBidi"/>
                <w:bCs/>
                <w:noProof/>
                <w:color w:val="595959"/>
                <w:szCs w:val="24"/>
              </w:rPr>
            </w:pPr>
            <w:r w:rsidRPr="002A0300">
              <w:rPr>
                <w:rFonts w:eastAsia="Calibri" w:cs="Times New Roman" w:asciiTheme="minorBidi" w:hAnsiTheme="minorBidi"/>
                <w:b/>
                <w:noProof/>
                <w:color w:val="595959"/>
                <w:sz w:val="20"/>
                <w:lang w:eastAsia="zh-CN"/>
              </w:rPr>
              <mc:AlternateContent>
                <mc:Choice Requires="wps">
                  <w:drawing>
                    <wp:anchor distT="0" distB="0" distL="114300" distR="114300" simplePos="0" relativeHeight="251658278" behindDoc="0" locked="0" layoutInCell="1" allowOverlap="1" wp14:editId="5F231A34" wp14:anchorId="03CCB407">
                      <wp:simplePos x="0" y="0"/>
                      <wp:positionH relativeFrom="column">
                        <wp:posOffset>-18828</wp:posOffset>
                      </wp:positionH>
                      <wp:positionV relativeFrom="paragraph">
                        <wp:posOffset>31750</wp:posOffset>
                      </wp:positionV>
                      <wp:extent cx="179705" cy="193675"/>
                      <wp:effectExtent l="0" t="0" r="10795" b="15875"/>
                      <wp:wrapSquare wrapText="bothSides"/>
                      <wp:docPr id="213" name="Rectangle 21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3" style="position:absolute;margin-left:-1.5pt;margin-top:2.5pt;width:14.15pt;height:15.2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" w14:anchorId="5BF4E2AC">
                      <w10:wrap type="square"/>
                    </v:rect>
                  </w:pict>
                </mc:Fallback>
              </mc:AlternateContent>
            </w:r>
            <w:r w:rsidRPr="002A0300">
              <w:rPr>
                <w:rFonts w:eastAsia="Calibri" w:cs="Times New Roman" w:asciiTheme="minorBidi" w:hAnsiTheme="minorBidi"/>
                <w:bCs/>
                <w:noProof/>
                <w:color w:val="595959"/>
                <w:szCs w:val="24"/>
              </w:rPr>
              <w:t xml:space="preserve">It </w:t>
            </w:r>
            <w:r w:rsidRPr="002A0300">
              <w:rPr>
                <w:rFonts w:eastAsia="Calibri" w:cs="Times New Roman" w:asciiTheme="minorBidi" w:hAnsiTheme="minorBidi"/>
                <w:b/>
                <w:bCs/>
                <w:noProof/>
                <w:color w:val="595959"/>
                <w:szCs w:val="24"/>
              </w:rPr>
              <w:t>promotes Environmental/Social (E/S) characteristics</w:t>
            </w:r>
            <w:r w:rsidRPr="002A0300">
              <w:rPr>
                <w:rFonts w:eastAsia="Calibri" w:cs="Times New Roman" w:asciiTheme="minorBidi" w:hAnsiTheme="minorBidi"/>
                <w:bCs/>
                <w:noProof/>
                <w:color w:val="595959"/>
                <w:szCs w:val="24"/>
              </w:rPr>
              <w:t xml:space="preserve"> and </w:t>
            </w:r>
            <w:r w:rsidRPr="002A0300">
              <w:rPr>
                <w:rFonts w:eastAsia="Calibri" w:cs="Times New Roman" w:asciiTheme="minorBidi" w:hAnsiTheme="minorBidi"/>
                <w:noProof/>
                <w:color w:val="595959"/>
              </w:rPr>
              <w:t xml:space="preserve">while it does not have as its objective a sustainable investment, it </w:t>
            </w:r>
            <w:r w:rsidRPr="002A0300">
              <w:rPr>
                <w:rFonts w:eastAsia="Calibri" w:cs="Times New Roman" w:asciiTheme="minorBidi" w:hAnsiTheme="minorBidi"/>
                <w:bCs/>
                <w:noProof/>
                <w:color w:val="595959"/>
                <w:szCs w:val="24"/>
              </w:rPr>
              <w:t xml:space="preserve">will have a minimum proportion of </w:t>
            </w:r>
            <w:r w:rsidRPr="002A0300">
              <w:rPr>
                <w:rFonts w:eastAsia="Calibri" w:cs="Times New Roman" w:asciiTheme="minorBidi" w:hAnsiTheme="minorBidi"/>
                <w:bCs/>
                <w:noProof/>
                <w:color w:val="595959"/>
                <w:sz w:val="20"/>
                <w:szCs w:val="24"/>
              </w:rPr>
              <w:t xml:space="preserve">___% of </w:t>
            </w:r>
            <w:r w:rsidRPr="002A0300">
              <w:rPr>
                <w:rFonts w:eastAsia="Calibri" w:cs="Times New Roman" w:asciiTheme="minorBidi" w:hAnsiTheme="minorBidi"/>
                <w:bCs/>
                <w:noProof/>
                <w:color w:val="595959"/>
                <w:szCs w:val="24"/>
              </w:rPr>
              <w:t>sustainable investments</w:t>
            </w:r>
          </w:p>
          <w:p w:rsidRPr="002A0300" w:rsidR="002A0300" w:rsidP="002A0300" w:rsidRDefault="002A0300" w14:paraId="7B69A1D8" w14:textId="77777777">
            <w:pPr>
              <w:ind w:left="454" w:right="-144"/>
              <w:rPr>
                <w:rFonts w:eastAsia="Calibri" w:cs="Times New Roman" w:asciiTheme="minorBidi" w:hAnsiTheme="minorBidi"/>
                <w:bCs/>
                <w:noProof/>
                <w:color w:val="595959"/>
                <w:sz w:val="16"/>
                <w:szCs w:val="16"/>
              </w:rPr>
            </w:pPr>
            <w:r w:rsidRPr="002A0300">
              <w:rPr>
                <w:rFonts w:eastAsia="Calibri" w:cs="Times New Roman" w:asciiTheme="minorBidi" w:hAnsiTheme="minorBidi"/>
                <w:bCs/>
                <w:noProof/>
                <w:color w:val="595959"/>
                <w:sz w:val="20"/>
                <w:szCs w:val="24"/>
              </w:rPr>
              <w:t xml:space="preserve"> </w:t>
            </w:r>
          </w:p>
          <w:p w:rsidRPr="002A0300" w:rsidR="002A0300" w:rsidP="002A0300" w:rsidRDefault="002A0300" w14:paraId="1E72E0EB" w14:textId="77777777">
            <w:pPr>
              <w:spacing w:after="160" w:line="259" w:lineRule="auto"/>
              <w:ind w:left="1163" w:hanging="8"/>
              <w:rPr>
                <w:rFonts w:eastAsia="Calibri" w:cs="Times New Roman" w:asciiTheme="minorBidi" w:hAnsiTheme="minorBidi"/>
                <w:bCs/>
                <w:noProof/>
                <w:color w:val="595959"/>
                <w:sz w:val="20"/>
                <w:szCs w:val="24"/>
              </w:rPr>
            </w:pPr>
            <w:r w:rsidRPr="002A0300">
              <w:rPr>
                <w:rFonts w:eastAsia="Calibri" w:cs="Times New Roman" w:asciiTheme="minorBidi" w:hAnsiTheme="minorBidi"/>
                <w:b/>
                <w:noProof/>
                <w:color w:val="595959"/>
                <w:sz w:val="18"/>
                <w:lang w:eastAsia="zh-CN"/>
              </w:rPr>
              <mc:AlternateContent>
                <mc:Choice Requires="wps">
                  <w:drawing>
                    <wp:anchor distT="0" distB="0" distL="114300" distR="114300" simplePos="0" relativeHeight="251658279" behindDoc="0" locked="0" layoutInCell="1" allowOverlap="1" wp14:editId="04B65620" wp14:anchorId="60B1166E">
                      <wp:simplePos x="0" y="0"/>
                      <wp:positionH relativeFrom="column">
                        <wp:posOffset>408605</wp:posOffset>
                      </wp:positionH>
                      <wp:positionV relativeFrom="paragraph">
                        <wp:posOffset>31095</wp:posOffset>
                      </wp:positionV>
                      <wp:extent cx="179705" cy="193675"/>
                      <wp:effectExtent l="0" t="0" r="10795" b="15875"/>
                      <wp:wrapSquare wrapText="bothSides"/>
                      <wp:docPr id="214" name="Rectangle 21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4" style="position:absolute;margin-left:32.15pt;margin-top:2.45pt;width:14.15pt;height:15.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" w14:anchorId="19CB2F53">
                      <w10:wrap type="square"/>
                    </v:rect>
                  </w:pict>
                </mc:Fallback>
              </mc:AlternateContent>
            </w:r>
            <w:r w:rsidRPr="002A0300">
              <w:rPr>
                <w:rFonts w:eastAsia="Calibri" w:cs="Times New Roman" w:asciiTheme="minorBidi" w:hAnsiTheme="minorBidi"/>
                <w:bCs/>
                <w:noProof/>
                <w:color w:val="595959"/>
                <w:sz w:val="20"/>
                <w:szCs w:val="24"/>
              </w:rPr>
              <w:t xml:space="preserve">with an environmental objective in economic activities that qualify as environmentally sustainable under the EU Taxonomy </w:t>
            </w:r>
          </w:p>
          <w:p w:rsidRPr="002A0300" w:rsidR="002A0300" w:rsidP="002A0300" w:rsidRDefault="002A0300" w14:paraId="382B5E2E" w14:textId="77777777">
            <w:pPr>
              <w:ind w:left="1163" w:right="141"/>
              <w:rPr>
                <w:rFonts w:eastAsia="Calibri" w:cs="Times New Roman" w:asciiTheme="minorBidi" w:hAnsiTheme="minorBidi"/>
                <w:bCs/>
                <w:noProof/>
                <w:color w:val="595959"/>
                <w:sz w:val="20"/>
                <w:szCs w:val="24"/>
              </w:rPr>
            </w:pPr>
            <w:r w:rsidRPr="002A0300">
              <w:rPr>
                <w:rFonts w:eastAsia="Calibri" w:cs="Times New Roman" w:asciiTheme="minorBidi" w:hAnsiTheme="minorBidi"/>
                <w:b/>
                <w:noProof/>
                <w:color w:val="595959"/>
                <w:sz w:val="18"/>
                <w:lang w:eastAsia="zh-CN"/>
              </w:rPr>
              <mc:AlternateContent>
                <mc:Choice Requires="wps">
                  <w:drawing>
                    <wp:anchor distT="0" distB="0" distL="114300" distR="114300" simplePos="0" relativeHeight="251658280" behindDoc="0" locked="0" layoutInCell="1" allowOverlap="1" wp14:editId="06548472" wp14:anchorId="6212CD22">
                      <wp:simplePos x="0" y="0"/>
                      <wp:positionH relativeFrom="column">
                        <wp:posOffset>427355</wp:posOffset>
                      </wp:positionH>
                      <wp:positionV relativeFrom="paragraph">
                        <wp:posOffset>40005</wp:posOffset>
                      </wp:positionV>
                      <wp:extent cx="179705" cy="193675"/>
                      <wp:effectExtent l="0" t="0" r="10795" b="15875"/>
                      <wp:wrapSquare wrapText="bothSides"/>
                      <wp:docPr id="215" name="Rectangle 21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5" style="position:absolute;margin-left:33.65pt;margin-top:3.15pt;width:14.15pt;height:15.2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" w14:anchorId="0178C957">
                      <w10:wrap type="square"/>
                    </v:rect>
                  </w:pict>
                </mc:Fallback>
              </mc:AlternateContent>
            </w:r>
            <w:r w:rsidRPr="002A0300">
              <w:rPr>
                <w:rFonts w:eastAsia="Calibri" w:cs="Times New Roman" w:asciiTheme="minorBidi" w:hAnsiTheme="minorBidi"/>
                <w:bCs/>
                <w:noProof/>
                <w:color w:val="595959"/>
                <w:sz w:val="20"/>
                <w:szCs w:val="24"/>
              </w:rPr>
              <w:t>with an environmental objective in economic activities that do not qualify as environmentally sustainable under the EU Taxonomy</w:t>
            </w:r>
          </w:p>
          <w:p w:rsidRPr="002A0300" w:rsidR="002A0300" w:rsidP="002A0300" w:rsidRDefault="002A0300" w14:paraId="72C8D723" w14:textId="77777777">
            <w:pPr>
              <w:ind w:left="1163" w:right="141"/>
              <w:rPr>
                <w:rFonts w:eastAsia="Calibri" w:cs="Times New Roman" w:asciiTheme="minorBidi" w:hAnsiTheme="minorBidi"/>
                <w:bCs/>
                <w:noProof/>
                <w:color w:val="595959"/>
                <w:sz w:val="20"/>
                <w:szCs w:val="24"/>
              </w:rPr>
            </w:pPr>
            <w:r w:rsidRPr="002A0300">
              <w:rPr>
                <w:rFonts w:eastAsia="Calibri" w:cs="Times New Roman" w:asciiTheme="minorBidi" w:hAnsiTheme="minorBidi"/>
                <w:b/>
                <w:noProof/>
                <w:color w:val="595959"/>
                <w:sz w:val="18"/>
                <w:lang w:eastAsia="zh-CN"/>
              </w:rPr>
              <mc:AlternateContent>
                <mc:Choice Requires="wps">
                  <w:drawing>
                    <wp:anchor distT="0" distB="0" distL="114300" distR="114300" simplePos="0" relativeHeight="251658281" behindDoc="0" locked="0" layoutInCell="1" allowOverlap="1" wp14:editId="3A804880" wp14:anchorId="7369BCE3">
                      <wp:simplePos x="0" y="0"/>
                      <wp:positionH relativeFrom="column">
                        <wp:posOffset>429066</wp:posOffset>
                      </wp:positionH>
                      <wp:positionV relativeFrom="paragraph">
                        <wp:posOffset>142875</wp:posOffset>
                      </wp:positionV>
                      <wp:extent cx="179705" cy="193675"/>
                      <wp:effectExtent l="0" t="0" r="10795" b="15875"/>
                      <wp:wrapSquare wrapText="bothSides"/>
                      <wp:docPr id="216" name="Rectangle 21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6" style="position:absolute;margin-left:33.8pt;margin-top:11.25pt;width:14.15pt;height:15.2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" w14:anchorId="49212987">
                      <w10:wrap type="square"/>
                    </v:rect>
                  </w:pict>
                </mc:Fallback>
              </mc:AlternateContent>
            </w:r>
          </w:p>
          <w:p w:rsidRPr="002A0300" w:rsidR="002A0300" w:rsidP="002A0300" w:rsidRDefault="002A0300" w14:paraId="1DF23E0C" w14:textId="77777777">
            <w:pPr>
              <w:ind w:left="1163" w:right="141"/>
              <w:rPr>
                <w:rFonts w:eastAsia="Calibri" w:cs="Times New Roman" w:asciiTheme="minorBidi" w:hAnsiTheme="minorBidi"/>
                <w:bCs/>
                <w:noProof/>
                <w:color w:val="595959"/>
                <w:sz w:val="20"/>
                <w:szCs w:val="24"/>
              </w:rPr>
            </w:pPr>
            <w:r w:rsidRPr="002A0300">
              <w:rPr>
                <w:rFonts w:eastAsia="Calibri" w:cs="Times New Roman" w:asciiTheme="minorBidi" w:hAnsiTheme="minorBidi"/>
                <w:bCs/>
                <w:noProof/>
                <w:color w:val="595959"/>
                <w:sz w:val="20"/>
                <w:szCs w:val="24"/>
              </w:rPr>
              <w:t>with a social objective</w:t>
            </w:r>
          </w:p>
          <w:p w:rsidRPr="002A0300" w:rsidR="002A0300" w:rsidP="002A0300" w:rsidRDefault="002A0300" w14:paraId="71430E39" w14:textId="77777777">
            <w:pPr>
              <w:ind w:left="1163" w:right="141"/>
              <w:rPr>
                <w:rFonts w:eastAsia="Calibri" w:cs="Times New Roman" w:asciiTheme="minorBidi" w:hAnsiTheme="minorBidi"/>
                <w:b/>
                <w:bCs/>
                <w:noProof/>
                <w:color w:val="595959"/>
                <w:szCs w:val="24"/>
              </w:rPr>
            </w:pPr>
          </w:p>
        </w:tc>
      </w:tr>
      <w:tr w:rsidRPr="002A0300" w:rsidR="002A0300" w:rsidTr="00E11BE3" w14:paraId="717B6A0C" w14:textId="77777777">
        <w:trPr>
          <w:gridAfter w:val="1"/>
          <w:wAfter w:w="7" w:type="dxa"/>
          <w:trHeight w:val="789"/>
        </w:trPr>
        <w:tc>
          <w:tcPr>
            <w:tcW w:w="3969" w:type="dxa"/>
            <w:tcBorders>
              <w:right w:val="single" w:color="D9D9D9" w:themeColor="background1" w:themeShade="D9" w:sz="2" w:space="0"/>
            </w:tcBorders>
            <w:shd w:val="clear" w:color="auto" w:fill="FAE8D5"/>
          </w:tcPr>
          <w:p w:rsidRPr="002A0300" w:rsidR="002A0300" w:rsidP="002A0300" w:rsidRDefault="002A0300" w14:paraId="063B73CE" w14:textId="77777777">
            <w:pPr>
              <w:spacing w:after="160" w:line="259" w:lineRule="auto"/>
              <w:ind w:left="457"/>
              <w:rPr>
                <w:rFonts w:eastAsia="Calibri" w:cs="Times New Roman" w:asciiTheme="minorBidi" w:hAnsiTheme="minorBidi"/>
                <w:bCs/>
                <w:noProof/>
                <w:color w:val="595959"/>
                <w:szCs w:val="24"/>
              </w:rPr>
            </w:pPr>
            <w:r w:rsidRPr="002A0300">
              <w:rPr>
                <w:rFonts w:eastAsia="Calibri" w:cs="Times New Roman" w:asciiTheme="minorBidi" w:hAnsiTheme="minorBidi"/>
                <w:bCs/>
                <w:noProof/>
                <w:color w:val="595959"/>
                <w:szCs w:val="24"/>
                <w:lang w:eastAsia="zh-CN"/>
              </w:rPr>
              <mc:AlternateContent>
                <mc:Choice Requires="wps">
                  <w:drawing>
                    <wp:anchor distT="0" distB="0" distL="114300" distR="114300" simplePos="0" relativeHeight="251658282" behindDoc="0" locked="0" layoutInCell="1" allowOverlap="1" wp14:editId="12C1CBCC" wp14:anchorId="666A300A">
                      <wp:simplePos x="0" y="0"/>
                      <wp:positionH relativeFrom="column">
                        <wp:posOffset>-22225</wp:posOffset>
                      </wp:positionH>
                      <wp:positionV relativeFrom="paragraph">
                        <wp:posOffset>53340</wp:posOffset>
                      </wp:positionV>
                      <wp:extent cx="179705" cy="193675"/>
                      <wp:effectExtent l="0" t="0" r="10795" b="15875"/>
                      <wp:wrapSquare wrapText="bothSides"/>
                      <wp:docPr id="217" name="Rectangle 21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7" style="position:absolute;margin-left:-1.75pt;margin-top:4.2pt;width:14.15pt;height:15.2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w14:anchorId="607B928D">
                      <w10:wrap type="square"/>
                    </v:rect>
                  </w:pict>
                </mc:Fallback>
              </mc:AlternateContent>
            </w:r>
            <w:r w:rsidRPr="002A0300">
              <w:rPr>
                <w:rFonts w:eastAsia="Calibri" w:cs="Times New Roman" w:asciiTheme="minorBidi" w:hAnsiTheme="minorBidi"/>
                <w:bCs/>
                <w:noProof/>
                <w:color w:val="595959"/>
                <w:szCs w:val="24"/>
              </w:rPr>
              <w:t xml:space="preserve">It will make a minimum of </w:t>
            </w:r>
            <w:r w:rsidRPr="002A0300">
              <w:rPr>
                <w:rFonts w:eastAsia="Calibri" w:cs="Times New Roman" w:asciiTheme="minorBidi" w:hAnsiTheme="minorBidi"/>
                <w:b/>
                <w:bCs/>
                <w:noProof/>
                <w:color w:val="595959"/>
                <w:szCs w:val="24"/>
              </w:rPr>
              <w:t xml:space="preserve">sustainable investments with a social objective: </w:t>
            </w:r>
            <w:r w:rsidRPr="002A0300">
              <w:rPr>
                <w:rFonts w:eastAsia="Calibri" w:cs="Times New Roman" w:asciiTheme="minorBidi" w:hAnsiTheme="minorBidi"/>
                <w:bCs/>
                <w:noProof/>
                <w:color w:val="595959"/>
                <w:sz w:val="20"/>
                <w:szCs w:val="24"/>
              </w:rPr>
              <w:t xml:space="preserve">___% </w:t>
            </w:r>
          </w:p>
        </w:tc>
        <w:tc>
          <w:tcPr>
            <w:tcW w:w="5103" w:type="dxa"/>
            <w:tcBorders>
              <w:left w:val="single" w:color="D9D9D9" w:themeColor="background1" w:themeShade="D9" w:sz="2" w:space="0"/>
            </w:tcBorders>
            <w:shd w:val="clear" w:color="auto" w:fill="FAE8D5"/>
          </w:tcPr>
          <w:p w:rsidRPr="002A0300" w:rsidR="002A0300" w:rsidP="002A0300" w:rsidRDefault="002A0300" w14:paraId="31D65F3B" w14:textId="77777777">
            <w:pPr>
              <w:spacing w:after="160"/>
              <w:ind w:left="411"/>
              <w:rPr>
                <w:rFonts w:eastAsia="Calibri" w:cs="Times New Roman" w:asciiTheme="minorBidi" w:hAnsiTheme="minorBidi"/>
                <w:noProof/>
                <w:color w:val="595959"/>
              </w:rPr>
            </w:pPr>
            <w:r w:rsidRPr="002A0300">
              <w:rPr>
                <w:rFonts w:eastAsia="SimSun" w:cs="Times New Roman" w:asciiTheme="minorBidi" w:hAnsiTheme="minorBidi"/>
                <w:noProof/>
                <w:lang w:eastAsia="zh-CN"/>
              </w:rPr>
              <w:drawing>
                <wp:anchor distT="0" distB="0" distL="114300" distR="114300" simplePos="0" relativeHeight="251658299" behindDoc="0" locked="0" layoutInCell="1" allowOverlap="1" wp14:editId="2A87E47D" wp14:anchorId="2FB4149F">
                  <wp:simplePos x="0" y="0"/>
                  <wp:positionH relativeFrom="column">
                    <wp:posOffset>9525</wp:posOffset>
                  </wp:positionH>
                  <wp:positionV relativeFrom="paragraph">
                    <wp:posOffset>95885</wp:posOffset>
                  </wp:positionV>
                  <wp:extent cx="124460" cy="124460"/>
                  <wp:effectExtent l="0" t="0" r="889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2A0300">
              <w:rPr>
                <w:rFonts w:eastAsia="Calibri" w:cs="Times New Roman" w:asciiTheme="minorBidi" w:hAnsiTheme="minorBidi"/>
                <w:b/>
                <w:noProof/>
                <w:color w:val="595959"/>
                <w:sz w:val="20"/>
                <w:lang w:eastAsia="zh-CN"/>
              </w:rPr>
              <mc:AlternateContent>
                <mc:Choice Requires="wps">
                  <w:drawing>
                    <wp:anchor distT="0" distB="0" distL="114300" distR="114300" simplePos="0" relativeHeight="251658283" behindDoc="0" locked="0" layoutInCell="1" allowOverlap="1" wp14:editId="79B38DEB" wp14:anchorId="3A556940">
                      <wp:simplePos x="0" y="0"/>
                      <wp:positionH relativeFrom="column">
                        <wp:posOffset>-26963</wp:posOffset>
                      </wp:positionH>
                      <wp:positionV relativeFrom="paragraph">
                        <wp:posOffset>34290</wp:posOffset>
                      </wp:positionV>
                      <wp:extent cx="179705" cy="193675"/>
                      <wp:effectExtent l="0" t="0" r="10795" b="15875"/>
                      <wp:wrapSquare wrapText="bothSides"/>
                      <wp:docPr id="218" name="Rectangle 21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8" style="position:absolute;margin-left:-2.1pt;margin-top:2.7pt;width:14.15pt;height:15.2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d9d9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" w14:anchorId="43A06293">
                      <w10:wrap type="square"/>
                    </v:rect>
                  </w:pict>
                </mc:Fallback>
              </mc:AlternateContent>
            </w:r>
            <w:r w:rsidRPr="002A0300">
              <w:rPr>
                <w:rFonts w:eastAsia="Calibri" w:cs="Times New Roman" w:asciiTheme="minorBidi" w:hAnsiTheme="minorBidi"/>
                <w:bCs/>
                <w:noProof/>
                <w:color w:val="595959"/>
                <w:szCs w:val="24"/>
              </w:rPr>
              <w:t>It promotes E/S characteristics,</w:t>
            </w:r>
            <w:r w:rsidRPr="002A0300">
              <w:rPr>
                <w:rFonts w:eastAsia="Calibri" w:cs="Times New Roman" w:asciiTheme="minorBidi" w:hAnsiTheme="minorBidi"/>
                <w:noProof/>
                <w:color w:val="595959"/>
              </w:rPr>
              <w:t xml:space="preserve"> but </w:t>
            </w:r>
            <w:r w:rsidRPr="002A0300">
              <w:rPr>
                <w:rFonts w:eastAsia="Calibri" w:cs="Times New Roman" w:asciiTheme="minorBidi" w:hAnsiTheme="minorBidi"/>
                <w:b/>
                <w:noProof/>
                <w:color w:val="595959"/>
              </w:rPr>
              <w:t>will not make any sustainable investments</w:t>
            </w:r>
            <w:r w:rsidRPr="002A0300">
              <w:rPr>
                <w:rFonts w:eastAsia="Calibri" w:cs="Times New Roman" w:asciiTheme="minorBidi" w:hAnsiTheme="minorBidi"/>
                <w:noProof/>
                <w:color w:val="595959"/>
              </w:rPr>
              <w:t xml:space="preserve"> </w:t>
            </w:r>
          </w:p>
          <w:p w:rsidRPr="002A0300" w:rsidR="002A0300" w:rsidP="002A0300" w:rsidRDefault="002A0300" w14:paraId="08103985" w14:textId="77777777">
            <w:pPr>
              <w:spacing w:after="160"/>
              <w:ind w:left="411"/>
              <w:rPr>
                <w:rFonts w:eastAsia="Calibri" w:cs="Times New Roman" w:asciiTheme="minorBidi" w:hAnsiTheme="minorBidi"/>
                <w:noProof/>
                <w:color w:val="595959"/>
              </w:rPr>
            </w:pPr>
          </w:p>
        </w:tc>
      </w:tr>
    </w:tbl>
    <w:p w:rsidRPr="002A0300" w:rsidR="002A0300" w:rsidP="002A0300" w:rsidRDefault="002A0300" w14:paraId="26A03A2F" w14:textId="77777777">
      <w:pPr>
        <w:spacing w:line="259" w:lineRule="auto"/>
        <w:ind w:right="-2"/>
        <w:rPr>
          <w:rFonts w:eastAsia="Calibri" w:asciiTheme="minorBidi" w:hAnsiTheme="minorBidi"/>
          <w:b/>
          <w:bCs/>
          <w:noProof/>
          <w:sz w:val="24"/>
          <w:lang w:eastAsia="zh-CN"/>
        </w:rPr>
      </w:pPr>
    </w:p>
    <w:p w:rsidRPr="002A0300" w:rsidR="002A0300" w:rsidP="002A0300" w:rsidRDefault="00841DD9" w14:paraId="6BE4DF3C" w14:textId="006694A7">
      <w:pPr>
        <w:spacing w:line="259" w:lineRule="auto"/>
        <w:ind w:right="-2"/>
        <w:rPr>
          <w:rFonts w:eastAsia="Calibri" w:asciiTheme="minorBidi" w:hAnsiTheme="minorBidi"/>
          <w:b/>
          <w:bCs/>
          <w:noProof/>
          <w:sz w:val="24"/>
          <w:lang w:eastAsia="zh-CN"/>
        </w:rPr>
      </w:pPr>
      <w:r w:rsidRPr="002A0300">
        <w:rPr>
          <w:rFonts w:eastAsia="SimSun" w:asciiTheme="minorBidi" w:hAnsiTheme="minorBidi"/>
          <w:noProof/>
          <w:szCs w:val="24"/>
          <w:lang w:eastAsia="zh-CN"/>
        </w:rPr>
        <w:drawing>
          <wp:anchor distT="0" distB="0" distL="114300" distR="114300" simplePos="0" relativeHeight="251658264" behindDoc="0" locked="0" layoutInCell="1" allowOverlap="1" wp14:editId="311C9DE2" wp14:anchorId="7858701F">
            <wp:simplePos x="0" y="0"/>
            <wp:positionH relativeFrom="leftMargin">
              <wp:posOffset>38100</wp:posOffset>
            </wp:positionH>
            <wp:positionV relativeFrom="margin">
              <wp:posOffset>7033260</wp:posOffset>
            </wp:positionV>
            <wp:extent cx="1704975" cy="600075"/>
            <wp:effectExtent l="0" t="0" r="9525" b="9525"/>
            <wp:wrapSquare wrapText="bothSides"/>
            <wp:docPr id="244"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1704975" cy="600075"/>
                    </a:xfrm>
                    <a:prstGeom prst="rect">
                      <a:avLst/>
                    </a:prstGeom>
                  </pic:spPr>
                </pic:pic>
              </a:graphicData>
            </a:graphic>
            <wp14:sizeRelH relativeFrom="margin">
              <wp14:pctWidth>0</wp14:pctWidth>
            </wp14:sizeRelH>
            <wp14:sizeRelV relativeFrom="margin">
              <wp14:pctHeight>0</wp14:pctHeight>
            </wp14:sizeRelV>
          </wp:anchor>
        </w:drawing>
      </w:r>
    </w:p>
    <w:p w:rsidRPr="002A0300" w:rsidR="002A0300" w:rsidP="002A0300" w:rsidRDefault="002A0300" w14:paraId="4654E98C" w14:textId="1AD88B59">
      <w:pPr>
        <w:spacing w:line="259" w:lineRule="auto"/>
        <w:ind w:right="-2"/>
        <w:rPr>
          <w:rFonts w:eastAsia="Calibri" w:asciiTheme="minorBidi" w:hAnsiTheme="minorBidi"/>
          <w:b/>
          <w:bCs/>
          <w:noProof/>
          <w:sz w:val="24"/>
          <w:lang w:eastAsia="zh-CN"/>
        </w:rPr>
      </w:pPr>
    </w:p>
    <w:p w:rsidRPr="002A0300" w:rsidR="002A0300" w:rsidP="002A0300" w:rsidRDefault="002A0300" w14:paraId="4290774D" w14:textId="77777777">
      <w:pPr>
        <w:spacing w:line="259" w:lineRule="auto"/>
        <w:ind w:right="-2"/>
        <w:rPr>
          <w:rFonts w:eastAsia="Calibri" w:asciiTheme="minorBidi" w:hAnsiTheme="minorBidi"/>
          <w:b/>
          <w:bCs/>
          <w:noProof/>
          <w:sz w:val="24"/>
          <w:lang w:eastAsia="zh-CN"/>
        </w:rPr>
      </w:pPr>
    </w:p>
    <w:p w:rsidRPr="002A0300" w:rsidR="002A0300" w:rsidP="002A0300" w:rsidRDefault="002A0300" w14:paraId="3B3D9DD7" w14:textId="72B3DD73">
      <w:pPr>
        <w:spacing w:line="259" w:lineRule="auto"/>
        <w:ind w:left="142" w:right="-2"/>
        <w:rPr>
          <w:rFonts w:eastAsia="Calibri" w:asciiTheme="minorBidi" w:hAnsiTheme="minorBidi"/>
          <w:b/>
          <w:bCs/>
          <w:noProof/>
          <w:sz w:val="24"/>
          <w:lang w:eastAsia="zh-CN"/>
        </w:rPr>
      </w:pPr>
      <w:r w:rsidRPr="002A0300">
        <w:rPr>
          <w:rFonts w:eastAsia="Calibri" w:asciiTheme="minorBidi" w:hAnsiTheme="minorBidi"/>
          <w:b/>
          <w:bCs/>
          <w:noProof/>
          <w:sz w:val="24"/>
          <w:lang w:eastAsia="zh-CN"/>
        </w:rPr>
        <w:t xml:space="preserve">What environmental and/or social characteristics are promoted by this financial product? </w:t>
      </w:r>
    </w:p>
    <w:p w:rsidRPr="002A0300" w:rsidR="002A0300" w:rsidP="002A0300" w:rsidRDefault="00343FE6" w14:paraId="45DD04EA" w14:textId="1969815E">
      <w:pPr>
        <w:spacing w:line="259" w:lineRule="auto"/>
        <w:ind w:left="142" w:right="-2"/>
        <w:rPr>
          <w:rFonts w:eastAsia="Calibri" w:asciiTheme="minorBidi" w:hAnsiTheme="minorBidi"/>
          <w:b/>
          <w:bCs/>
          <w:noProof/>
          <w:sz w:val="24"/>
          <w:lang w:eastAsia="zh-CN"/>
        </w:rPr>
      </w:pPr>
      <w:r w:rsidRPr="002A0300">
        <w:rPr>
          <w:rFonts w:eastAsia="SimSun" w:asciiTheme="minorBidi" w:hAnsiTheme="minorBidi"/>
          <w:noProof/>
          <w:color w:val="000000"/>
          <w:spacing w:val="4"/>
          <w:lang w:val="en-US" w:eastAsia="zh-CN"/>
        </w:rPr>
        <mc:AlternateContent>
          <mc:Choice Requires="wps">
            <w:drawing>
              <wp:anchor distT="0" distB="0" distL="0" distR="0" simplePos="0" relativeHeight="251658300" behindDoc="1" locked="0" layoutInCell="1" allowOverlap="1" wp14:editId="3F864664" wp14:anchorId="656ADBE4">
                <wp:simplePos x="0" y="0"/>
                <wp:positionH relativeFrom="page">
                  <wp:posOffset>38100</wp:posOffset>
                </wp:positionH>
                <wp:positionV relativeFrom="page">
                  <wp:posOffset>8295640</wp:posOffset>
                </wp:positionV>
                <wp:extent cx="1473200" cy="1000760"/>
                <wp:effectExtent l="3175"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00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00" w:rsidP="002A0300" w:rsidRDefault="002A0300" w14:paraId="1E9C65CF" w14:textId="04C64477">
                            <w:pPr>
                              <w:spacing w:line="262" w:lineRule="exact"/>
                              <w:ind w:right="72"/>
                              <w:rPr>
                                <w:rFonts w:ascii="Tahoma" w:hAnsi="Tahoma"/>
                                <w:b/>
                                <w:color w:val="000000"/>
                                <w:sz w:val="16"/>
                              </w:rPr>
                            </w:pPr>
                            <w:r>
                              <w:rPr>
                                <w:rFonts w:ascii="Tahoma" w:hAnsi="Tahoma"/>
                                <w:b/>
                                <w:color w:val="000000"/>
                                <w:sz w:val="16"/>
                                <w:lang w:val="en-US"/>
                              </w:rPr>
                              <w:t xml:space="preserve">Sustainability indicators </w:t>
                            </w:r>
                            <w:r>
                              <w:rPr>
                                <w:rFonts w:ascii="Verdana" w:hAnsi="Verdana"/>
                                <w:color w:val="000000"/>
                                <w:sz w:val="16"/>
                                <w:lang w:val="en-US"/>
                              </w:rPr>
                              <w:t xml:space="preserve">measure how the environmental or social </w:t>
                            </w:r>
                            <w:r>
                              <w:rPr>
                                <w:rFonts w:ascii="Verdana" w:hAnsi="Verdana"/>
                                <w:color w:val="000000"/>
                                <w:spacing w:val="-4"/>
                                <w:sz w:val="16"/>
                                <w:lang w:val="en-US"/>
                              </w:rPr>
                              <w:t xml:space="preserve">characteristics promoted by </w:t>
                            </w:r>
                            <w:r>
                              <w:rPr>
                                <w:rFonts w:ascii="Verdana" w:hAnsi="Verdana"/>
                                <w:color w:val="000000"/>
                                <w:sz w:val="16"/>
                                <w:lang w:val="en-US"/>
                              </w:rPr>
                              <w:t>the financial product are attained.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6ADBE4">
                <v:stroke joinstyle="miter"/>
                <v:path gradientshapeok="t" o:connecttype="rect"/>
              </v:shapetype>
              <v:shape id="Text Box 6" style="position:absolute;left:0;text-align:left;margin-left:3pt;margin-top:653.2pt;width:116pt;height:78.8pt;z-index:-2516581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">
                <v:textbox inset="0,0,0,0">
                  <w:txbxContent>
                    <w:p w:rsidR="002A0300" w:rsidP="002A0300" w:rsidRDefault="002A0300" w14:paraId="1E9C65CF" w14:textId="04C64477">
                      <w:pPr>
                        <w:spacing w:line="262" w:lineRule="exact"/>
                        <w:ind w:right="72"/>
                        <w:rPr>
                          <w:rFonts w:ascii="Tahoma" w:hAnsi="Tahoma"/>
                          <w:b/>
                          <w:color w:val="000000"/>
                          <w:sz w:val="16"/>
                        </w:rPr>
                      </w:pPr>
                      <w:r>
                        <w:rPr>
                          <w:rFonts w:ascii="Tahoma" w:hAnsi="Tahoma"/>
                          <w:b/>
                          <w:color w:val="000000"/>
                          <w:sz w:val="16"/>
                          <w:lang w:val="en-US"/>
                        </w:rPr>
                        <w:t xml:space="preserve">Sustainability indicators </w:t>
                      </w:r>
                      <w:r>
                        <w:rPr>
                          <w:rFonts w:ascii="Verdana" w:hAnsi="Verdana"/>
                          <w:color w:val="000000"/>
                          <w:sz w:val="16"/>
                          <w:lang w:val="en-US"/>
                        </w:rPr>
                        <w:t xml:space="preserve">measure how the environmental or social </w:t>
                      </w:r>
                      <w:r>
                        <w:rPr>
                          <w:rFonts w:ascii="Verdana" w:hAnsi="Verdana"/>
                          <w:color w:val="000000"/>
                          <w:spacing w:val="-4"/>
                          <w:sz w:val="16"/>
                          <w:lang w:val="en-US"/>
                        </w:rPr>
                        <w:t xml:space="preserve">characteristics promoted by </w:t>
                      </w:r>
                      <w:r>
                        <w:rPr>
                          <w:rFonts w:ascii="Verdana" w:hAnsi="Verdana"/>
                          <w:color w:val="000000"/>
                          <w:sz w:val="16"/>
                          <w:lang w:val="en-US"/>
                        </w:rPr>
                        <w:t>the financial product are attained.</w:t>
                      </w:r>
                    </w:p>
                  </w:txbxContent>
                </v:textbox>
                <w10:wrap type="square" anchorx="page" anchory="page"/>
              </v:shape>
            </w:pict>
          </mc:Fallback>
        </mc:AlternateContent>
      </w:r>
    </w:p>
    <w:p w:rsidRPr="002A0300" w:rsidR="002A0300" w:rsidP="002A0300" w:rsidRDefault="002A0300" w14:paraId="4B126D9B" w14:textId="77777777">
      <w:pPr>
        <w:rPr>
          <w:rFonts w:eastAsia="SimSun" w:asciiTheme="minorBidi" w:hAnsiTheme="minorBidi"/>
          <w:color w:val="000000"/>
          <w:spacing w:val="-1"/>
          <w:lang w:val="en-US" w:eastAsia="zh-CN"/>
        </w:rPr>
      </w:pPr>
      <w:r w:rsidRPr="002A0300">
        <w:rPr>
          <w:rFonts w:eastAsia="SimSun" w:asciiTheme="minorBidi" w:hAnsiTheme="minorBidi"/>
          <w:color w:val="000000"/>
          <w:spacing w:val="-1"/>
          <w:lang w:val="en-US" w:eastAsia="zh-CN"/>
        </w:rPr>
        <w:t>The Sub-Fund promotes a broad spectrum of environmental and social characteristics as further described below, depending on the specific company and sector.</w:t>
      </w:r>
    </w:p>
    <w:p w:rsidRPr="002A0300" w:rsidR="002A0300" w:rsidP="002A0300" w:rsidRDefault="002A0300" w14:paraId="1D03C307" w14:textId="77777777">
      <w:pPr>
        <w:rPr>
          <w:rFonts w:eastAsia="SimSun" w:asciiTheme="minorBidi" w:hAnsiTheme="minorBidi"/>
          <w:color w:val="000000"/>
          <w:spacing w:val="-1"/>
          <w:lang w:val="en-US" w:eastAsia="zh-CN"/>
        </w:rPr>
      </w:pPr>
      <w:r w:rsidRPr="002A0300">
        <w:rPr>
          <w:rFonts w:eastAsia="SimSun" w:asciiTheme="minorBidi" w:hAnsiTheme="minorBidi"/>
          <w:color w:val="000000"/>
          <w:spacing w:val="-1"/>
          <w:lang w:val="en-US" w:eastAsia="zh-CN"/>
        </w:rPr>
        <w:t>In particular, the Investment Manager seeks to identify and evaluate the following factors:</w:t>
      </w:r>
    </w:p>
    <w:p w:rsidRPr="002A0300" w:rsidR="002A0300" w:rsidP="002A0300" w:rsidRDefault="002A0300" w14:paraId="345DB6B7" w14:textId="521C0E9D">
      <w:pPr>
        <w:numPr>
          <w:ilvl w:val="0"/>
          <w:numId w:val="2"/>
        </w:numPr>
        <w:spacing w:before="108"/>
        <w:ind w:hanging="360"/>
        <w:rPr>
          <w:rFonts w:eastAsia="SimSun" w:asciiTheme="minorBidi" w:hAnsiTheme="minorBidi"/>
          <w:color w:val="000000"/>
          <w:lang w:eastAsia="zh-CN"/>
        </w:rPr>
      </w:pPr>
      <w:r w:rsidRPr="002A0300">
        <w:rPr>
          <w:rFonts w:eastAsia="SimSun" w:asciiTheme="minorBidi" w:hAnsiTheme="minorBidi"/>
          <w:color w:val="000000"/>
          <w:spacing w:val="4"/>
          <w:lang w:val="en-US" w:eastAsia="zh-CN"/>
        </w:rPr>
        <w:t xml:space="preserve">Environmental: climate change prevention </w:t>
      </w:r>
      <w:proofErr w:type="gramStart"/>
      <w:r w:rsidRPr="002A0300">
        <w:rPr>
          <w:rFonts w:eastAsia="SimSun" w:asciiTheme="minorBidi" w:hAnsiTheme="minorBidi"/>
          <w:color w:val="000000"/>
          <w:spacing w:val="4"/>
          <w:lang w:val="en-US" w:eastAsia="zh-CN"/>
        </w:rPr>
        <w:t xml:space="preserve">(in terms </w:t>
      </w:r>
      <w:proofErr w:type="gramEnd"/>
      <w:r w:rsidRPr="002A0300">
        <w:rPr>
          <w:rFonts w:eastAsia="SimSun" w:asciiTheme="minorBidi" w:hAnsiTheme="minorBidi"/>
          <w:color w:val="000000"/>
          <w:spacing w:val="4"/>
          <w:lang w:val="en-US" w:eastAsia="zh-CN"/>
        </w:rPr>
        <w:t xml:space="preserve">for example of reduction of carbon emission, carbon footprint, climate change vulnerability), pollution &amp; waste prevention (with reference to toxic emissions &amp; waste, packaging material &amp; waste, electronic waste), </w:t>
      </w:r>
      <w:r w:rsidRPr="002A0300">
        <w:rPr>
          <w:rFonts w:eastAsia="SimSun" w:asciiTheme="minorBidi" w:hAnsiTheme="minorBidi"/>
          <w:color w:val="000000"/>
          <w:lang w:val="en-US" w:eastAsia="zh-CN"/>
        </w:rPr>
        <w:t>environmental opportunities (in clean tech, in renewable energy</w:t>
      </w:r>
      <w:proofErr w:type="gramStart"/>
      <w:r w:rsidRPr="002A0300">
        <w:rPr>
          <w:rFonts w:eastAsia="SimSun" w:asciiTheme="minorBidi" w:hAnsiTheme="minorBidi"/>
          <w:color w:val="000000"/>
          <w:lang w:val="en-US" w:eastAsia="zh-CN"/>
        </w:rPr>
        <w:t>);</w:t>
      </w:r>
      <w:proofErr w:type="gramEnd"/>
    </w:p>
    <w:p w:rsidRPr="002A0300" w:rsidR="002A0300" w:rsidP="002A0300" w:rsidRDefault="002A0300" w14:paraId="0A3755C9" w14:textId="7186A0A5">
      <w:pPr>
        <w:numPr>
          <w:ilvl w:val="0"/>
          <w:numId w:val="2"/>
        </w:numPr>
        <w:spacing w:before="144"/>
        <w:ind w:hanging="360"/>
        <w:rPr>
          <w:rFonts w:eastAsia="SimSun" w:asciiTheme="minorBidi" w:hAnsiTheme="minorBidi"/>
          <w:color w:val="000000"/>
          <w:spacing w:val="1"/>
          <w:lang w:eastAsia="zh-CN"/>
        </w:rPr>
      </w:pPr>
      <w:r w:rsidRPr="002A0300">
        <w:rPr>
          <w:rFonts w:eastAsia="SimSun" w:asciiTheme="minorBidi" w:hAnsiTheme="minorBidi"/>
          <w:color w:val="000000"/>
          <w:spacing w:val="1"/>
          <w:lang w:val="en-US" w:eastAsia="zh-CN"/>
        </w:rPr>
        <w:lastRenderedPageBreak/>
        <w:t xml:space="preserve">Social: human capital (labor management, health &amp; safety, human capital development, </w:t>
      </w:r>
      <w:r w:rsidRPr="002A0300">
        <w:rPr>
          <w:rFonts w:eastAsia="SimSun" w:asciiTheme="minorBidi" w:hAnsiTheme="minorBidi"/>
          <w:color w:val="000000"/>
          <w:lang w:val="en-US" w:eastAsia="zh-CN"/>
        </w:rPr>
        <w:t xml:space="preserve">supply chain labor standards), product liability (product safety &amp; quality, chemical safety, </w:t>
      </w:r>
      <w:r w:rsidRPr="002A0300">
        <w:rPr>
          <w:rFonts w:eastAsia="SimSun" w:asciiTheme="minorBidi" w:hAnsiTheme="minorBidi"/>
          <w:color w:val="000000"/>
          <w:spacing w:val="1"/>
          <w:lang w:val="en-US" w:eastAsia="zh-CN"/>
        </w:rPr>
        <w:t xml:space="preserve">consumer financial protection, privacy &amp; data security, responsible investment, health &amp; </w:t>
      </w:r>
      <w:r w:rsidRPr="002A0300">
        <w:rPr>
          <w:rFonts w:eastAsia="SimSun" w:asciiTheme="minorBidi" w:hAnsiTheme="minorBidi"/>
          <w:color w:val="000000"/>
          <w:lang w:val="en-US" w:eastAsia="zh-CN"/>
        </w:rPr>
        <w:t xml:space="preserve">demographic risk), social opportunities (access to communications, access to finance, access </w:t>
      </w:r>
      <w:r w:rsidRPr="002A0300">
        <w:rPr>
          <w:rFonts w:eastAsia="SimSun" w:asciiTheme="minorBidi" w:hAnsiTheme="minorBidi"/>
          <w:color w:val="000000"/>
          <w:spacing w:val="2"/>
          <w:lang w:val="en-US" w:eastAsia="zh-CN"/>
        </w:rPr>
        <w:t xml:space="preserve">to health care, opportunities in nutrition &amp; health), stakeholder opposition (controversial </w:t>
      </w:r>
      <w:r w:rsidRPr="002A0300">
        <w:rPr>
          <w:rFonts w:eastAsia="SimSun" w:asciiTheme="minorBidi" w:hAnsiTheme="minorBidi"/>
          <w:color w:val="000000"/>
          <w:lang w:val="en-US" w:eastAsia="zh-CN"/>
        </w:rPr>
        <w:t>sourcing</w:t>
      </w:r>
      <w:r w:rsidR="00F8579F">
        <w:rPr>
          <w:rFonts w:eastAsia="SimSun" w:asciiTheme="minorBidi" w:hAnsiTheme="minorBidi"/>
          <w:color w:val="000000"/>
          <w:lang w:val="en-US" w:eastAsia="zh-CN"/>
        </w:rPr>
        <w:t xml:space="preserve"> (c</w:t>
      </w:r>
      <w:r w:rsidRPr="00F8579F" w:rsidR="00F8579F">
        <w:rPr>
          <w:rFonts w:eastAsia="SimSun" w:asciiTheme="minorBidi" w:hAnsiTheme="minorBidi"/>
          <w:color w:val="000000"/>
          <w:lang w:val="en-US" w:eastAsia="zh-CN"/>
        </w:rPr>
        <w:t>ompanies are evaluated on their dependence on, and purchasing volume of, raw materials procured from conflict areas and their efforts at traceability and certification</w:t>
      </w:r>
      <w:r w:rsidR="00F8579F">
        <w:rPr>
          <w:rFonts w:eastAsia="SimSun" w:asciiTheme="minorBidi" w:hAnsiTheme="minorBidi"/>
          <w:color w:val="000000"/>
          <w:lang w:val="en-US" w:eastAsia="zh-CN"/>
        </w:rPr>
        <w:t>)</w:t>
      </w:r>
      <w:r w:rsidRPr="002A0300">
        <w:rPr>
          <w:rFonts w:eastAsia="SimSun" w:asciiTheme="minorBidi" w:hAnsiTheme="minorBidi"/>
          <w:color w:val="000000"/>
          <w:lang w:val="en-US" w:eastAsia="zh-CN"/>
        </w:rPr>
        <w:t>, community relations).</w:t>
      </w:r>
    </w:p>
    <w:p w:rsidRPr="002A0300" w:rsidR="002A0300" w:rsidP="002A0300" w:rsidRDefault="002A0300" w14:paraId="07E2C88E" w14:textId="45C349DC">
      <w:pPr>
        <w:spacing w:line="259" w:lineRule="auto"/>
        <w:ind w:right="-2"/>
        <w:rPr>
          <w:rFonts w:eastAsia="SimSun" w:asciiTheme="minorBidi" w:hAnsiTheme="minorBidi"/>
          <w:color w:val="000000"/>
          <w:sz w:val="20"/>
          <w:lang w:val="en-US" w:eastAsia="zh-CN"/>
        </w:rPr>
      </w:pPr>
    </w:p>
    <w:p w:rsidRPr="002A0300" w:rsidR="002A0300" w:rsidP="002A0300" w:rsidRDefault="002A0300" w14:paraId="576379DD" w14:textId="27EE5FA2">
      <w:pPr>
        <w:spacing w:after="160" w:line="259" w:lineRule="auto"/>
        <w:ind w:left="1418"/>
        <w:rPr>
          <w:rFonts w:eastAsia="Calibri" w:asciiTheme="minorBidi" w:hAnsiTheme="minorBidi"/>
          <w:b/>
          <w:bCs/>
          <w:i/>
          <w:iCs/>
          <w:noProof/>
        </w:rPr>
      </w:pPr>
      <w:r w:rsidRPr="002A0300">
        <w:rPr>
          <w:rFonts w:eastAsia="Calibri" w:asciiTheme="minorBidi" w:hAnsiTheme="minorBidi"/>
          <w:b/>
          <w:bCs/>
          <w:i/>
          <w:iCs/>
          <w:noProof/>
          <w:lang w:eastAsia="zh-CN"/>
        </w:rPr>
        <mc:AlternateContent>
          <mc:Choice Requires="wps">
            <w:drawing>
              <wp:anchor distT="0" distB="0" distL="114300" distR="114300" simplePos="0" relativeHeight="251658257" behindDoc="0" locked="0" layoutInCell="1" allowOverlap="1" wp14:editId="2D937E4F" wp14:anchorId="58236027">
                <wp:simplePos x="0" y="0"/>
                <wp:positionH relativeFrom="column">
                  <wp:posOffset>475615</wp:posOffset>
                </wp:positionH>
                <wp:positionV relativeFrom="paragraph">
                  <wp:posOffset>2540</wp:posOffset>
                </wp:positionV>
                <wp:extent cx="130175" cy="130175"/>
                <wp:effectExtent l="0" t="0" r="3175" b="3175"/>
                <wp:wrapNone/>
                <wp:docPr id="64" name="Oval 6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 style="position:absolute;margin-left:37.45pt;margin-top:.2pt;width:10.25pt;height:10.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" w14:anchorId="739BB5C4">
                <v:stroke joinstyle="miter"/>
              </v:oval>
            </w:pict>
          </mc:Fallback>
        </mc:AlternateContent>
      </w:r>
      <w:r w:rsidRPr="002A0300">
        <w:rPr>
          <w:rFonts w:eastAsia="Calibri" w:asciiTheme="minorBidi" w:hAnsiTheme="minorBidi"/>
          <w:b/>
          <w:bCs/>
          <w:i/>
          <w:iCs/>
          <w:noProof/>
          <w:lang w:eastAsia="zh-CN"/>
        </w:rPr>
        <w:t>What sustainability indicators are used to measure the attainment of each of the environmental or social characteristics promoted by this financial product</w:t>
      </w:r>
      <w:r w:rsidRPr="002A0300">
        <w:rPr>
          <w:rFonts w:eastAsia="Calibri" w:asciiTheme="minorBidi" w:hAnsiTheme="minorBidi"/>
          <w:b/>
          <w:bCs/>
          <w:i/>
          <w:iCs/>
          <w:noProof/>
        </w:rPr>
        <w:t>?</w:t>
      </w:r>
    </w:p>
    <w:p w:rsidRPr="002A0300" w:rsidR="002A0300" w:rsidP="002A0300" w:rsidRDefault="002A0300" w14:paraId="1E46FE0F" w14:textId="632C1BFF">
      <w:pPr>
        <w:tabs>
          <w:tab w:val="decimal" w:pos="216"/>
        </w:tabs>
        <w:spacing w:before="144"/>
        <w:rPr>
          <w:rFonts w:eastAsia="SimSun" w:asciiTheme="minorBidi" w:hAnsiTheme="minorBidi"/>
          <w:color w:val="000000"/>
          <w:lang w:val="en-US" w:eastAsia="zh-CN"/>
        </w:rPr>
      </w:pPr>
      <w:r w:rsidRPr="002A0300">
        <w:rPr>
          <w:rFonts w:eastAsia="SimSun" w:asciiTheme="minorBidi" w:hAnsiTheme="minorBidi"/>
          <w:color w:val="000000"/>
          <w:lang w:val="en-US" w:eastAsia="zh-CN"/>
        </w:rPr>
        <w:t>The indicators used to measure the attainment of each of the environmental or social characteristic promoted by the Sub-Fund are:</w:t>
      </w:r>
    </w:p>
    <w:p w:rsidRPr="002A0300" w:rsidR="002A0300" w:rsidP="002A0300" w:rsidRDefault="002A0300" w14:paraId="248D5912" w14:textId="792B2418">
      <w:pPr>
        <w:tabs>
          <w:tab w:val="decimal" w:pos="216"/>
        </w:tabs>
        <w:spacing w:before="144"/>
        <w:rPr>
          <w:rFonts w:eastAsia="SimSun" w:asciiTheme="minorBidi" w:hAnsiTheme="minorBidi"/>
          <w:color w:val="000000"/>
          <w:lang w:val="en-US" w:eastAsia="zh-CN"/>
        </w:rPr>
      </w:pPr>
      <w:r w:rsidRPr="002A0300">
        <w:rPr>
          <w:rFonts w:eastAsia="SimSun" w:asciiTheme="minorBidi" w:hAnsiTheme="minorBidi"/>
          <w:color w:val="000000"/>
          <w:u w:val="single"/>
          <w:lang w:val="en-US" w:eastAsia="zh-CN"/>
        </w:rPr>
        <w:t>Sector exclusion:</w:t>
      </w:r>
      <w:r w:rsidRPr="002A0300">
        <w:rPr>
          <w:rFonts w:eastAsia="SimSun" w:asciiTheme="minorBidi" w:hAnsiTheme="minorBidi"/>
          <w:color w:val="000000"/>
          <w:lang w:val="en-US" w:eastAsia="zh-CN"/>
        </w:rPr>
        <w:t xml:space="preserve"> </w:t>
      </w:r>
      <w:r w:rsidRPr="00F8579F" w:rsidR="00F8579F">
        <w:rPr>
          <w:rFonts w:eastAsia="SimSun" w:asciiTheme="minorBidi" w:hAnsiTheme="minorBidi"/>
          <w:color w:val="000000"/>
          <w:lang w:val="en-US" w:eastAsia="zh-CN"/>
        </w:rPr>
        <w:t xml:space="preserve">weight in the Sub-Fund of issuers operating in sectors deemed not to be “socially and environmentally responsible” (such as thermal coal, extraction of oil sands, unconventional weapons), identified </w:t>
      </w:r>
      <w:proofErr w:type="gramStart"/>
      <w:r w:rsidRPr="00F8579F" w:rsidR="00F8579F">
        <w:rPr>
          <w:rFonts w:eastAsia="SimSun" w:asciiTheme="minorBidi" w:hAnsiTheme="minorBidi"/>
          <w:color w:val="000000"/>
          <w:lang w:val="en-US" w:eastAsia="zh-CN"/>
        </w:rPr>
        <w:t>on the basis of</w:t>
      </w:r>
      <w:proofErr w:type="gramEnd"/>
      <w:r w:rsidRPr="00F8579F" w:rsidR="00F8579F">
        <w:rPr>
          <w:rFonts w:eastAsia="SimSun" w:asciiTheme="minorBidi" w:hAnsiTheme="minorBidi"/>
          <w:color w:val="000000"/>
          <w:lang w:val="en-US" w:eastAsia="zh-CN"/>
        </w:rPr>
        <w:t xml:space="preserve"> data provided by specialised ESG and SRI information providers.</w:t>
      </w:r>
    </w:p>
    <w:p w:rsidRPr="002A0300" w:rsidR="002A0300" w:rsidP="002A0300" w:rsidRDefault="002A0300" w14:paraId="5D9ED64A" w14:textId="531A2F50">
      <w:pPr>
        <w:tabs>
          <w:tab w:val="decimal" w:pos="216"/>
        </w:tabs>
        <w:spacing w:before="144"/>
        <w:rPr>
          <w:rFonts w:eastAsia="SimSun" w:asciiTheme="minorBidi" w:hAnsiTheme="minorBidi"/>
          <w:color w:val="000000"/>
          <w:lang w:val="en-US" w:eastAsia="zh-CN"/>
        </w:rPr>
      </w:pPr>
      <w:r w:rsidRPr="002A0300">
        <w:rPr>
          <w:rFonts w:eastAsia="SimSun" w:asciiTheme="minorBidi" w:hAnsiTheme="minorBidi"/>
          <w:color w:val="000000"/>
          <w:u w:val="single"/>
          <w:lang w:val="en-US" w:eastAsia="zh-CN"/>
        </w:rPr>
        <w:t>Issuer exclusion:</w:t>
      </w:r>
      <w:r w:rsidRPr="002A0300">
        <w:rPr>
          <w:rFonts w:eastAsia="SimSun" w:asciiTheme="minorBidi" w:hAnsiTheme="minorBidi"/>
          <w:color w:val="000000"/>
          <w:lang w:val="en-US" w:eastAsia="zh-CN"/>
        </w:rPr>
        <w:t xml:space="preserve"> weight in the </w:t>
      </w:r>
      <w:r w:rsidRPr="002A0300">
        <w:rPr>
          <w:rFonts w:eastAsia="Calibri" w:asciiTheme="minorBidi" w:hAnsiTheme="minorBidi"/>
          <w:noProof/>
          <w:color w:val="000000"/>
        </w:rPr>
        <w:t xml:space="preserve">Sub-Fund </w:t>
      </w:r>
      <w:r w:rsidRPr="002A0300">
        <w:rPr>
          <w:rFonts w:eastAsia="SimSun" w:asciiTheme="minorBidi" w:hAnsiTheme="minorBidi"/>
          <w:color w:val="000000"/>
          <w:lang w:val="en-US" w:eastAsia="zh-CN"/>
        </w:rPr>
        <w:t xml:space="preserve">of issuers with a high exposure to environmental, social and corporate governance risks (i.e.: “critical” issuers), identified </w:t>
      </w:r>
      <w:r w:rsidRPr="00F8579F" w:rsidR="00F8579F">
        <w:rPr>
          <w:rFonts w:eastAsia="SimSun" w:asciiTheme="minorBidi" w:hAnsiTheme="minorBidi"/>
          <w:color w:val="000000"/>
          <w:lang w:val="en-US" w:eastAsia="zh-CN"/>
        </w:rPr>
        <w:t>as having a lower ESG sustainability rating level assigned by the specialised information provider</w:t>
      </w:r>
      <w:r w:rsidR="00F8579F">
        <w:rPr>
          <w:rFonts w:eastAsia="SimSun" w:asciiTheme="minorBidi" w:hAnsiTheme="minorBidi"/>
          <w:color w:val="000000"/>
          <w:lang w:val="en-US" w:eastAsia="zh-CN"/>
        </w:rPr>
        <w:t>.</w:t>
      </w:r>
    </w:p>
    <w:p w:rsidR="002A0300" w:rsidP="002A0300" w:rsidRDefault="002A0300" w14:paraId="318FAB0D" w14:textId="428E0BEB">
      <w:pPr>
        <w:tabs>
          <w:tab w:val="decimal" w:pos="216"/>
        </w:tabs>
        <w:spacing w:before="144"/>
        <w:rPr>
          <w:rFonts w:eastAsia="SimSun" w:asciiTheme="minorBidi" w:hAnsiTheme="minorBidi"/>
          <w:color w:val="000000"/>
          <w:lang w:val="en-US" w:eastAsia="zh-CN"/>
        </w:rPr>
      </w:pPr>
      <w:r w:rsidRPr="002A0300">
        <w:rPr>
          <w:rFonts w:eastAsia="SimSun" w:asciiTheme="minorBidi" w:hAnsiTheme="minorBidi"/>
          <w:color w:val="000000"/>
          <w:u w:val="single"/>
          <w:lang w:val="en-US" w:eastAsia="zh-CN"/>
        </w:rPr>
        <w:t>ESG Score integration:</w:t>
      </w:r>
      <w:r w:rsidRPr="002A0300">
        <w:rPr>
          <w:rFonts w:eastAsia="SimSun" w:asciiTheme="minorBidi" w:hAnsiTheme="minorBidi"/>
          <w:color w:val="000000"/>
          <w:lang w:val="en-US" w:eastAsia="zh-CN"/>
        </w:rPr>
        <w:t xml:space="preserve"> "ESG Score" of the </w:t>
      </w:r>
      <w:r w:rsidRPr="002A0300">
        <w:rPr>
          <w:rFonts w:eastAsia="Calibri" w:asciiTheme="minorBidi" w:hAnsiTheme="minorBidi"/>
          <w:noProof/>
          <w:color w:val="000000"/>
        </w:rPr>
        <w:t xml:space="preserve">Sub-Fund </w:t>
      </w:r>
      <w:r w:rsidRPr="002A0300">
        <w:rPr>
          <w:rFonts w:eastAsia="SimSun" w:asciiTheme="minorBidi" w:hAnsiTheme="minorBidi"/>
          <w:color w:val="000000"/>
          <w:lang w:val="en-US" w:eastAsia="zh-CN"/>
        </w:rPr>
        <w:t xml:space="preserve">as determined by the specialised ESG info provider "MSCI ESG Research" </w:t>
      </w:r>
      <w:proofErr w:type="gramStart"/>
      <w:r w:rsidRPr="002A0300">
        <w:rPr>
          <w:rFonts w:eastAsia="SimSun" w:asciiTheme="minorBidi" w:hAnsiTheme="minorBidi"/>
          <w:color w:val="000000"/>
          <w:lang w:val="en-US" w:eastAsia="zh-CN"/>
        </w:rPr>
        <w:t>on the basis of</w:t>
      </w:r>
      <w:proofErr w:type="gramEnd"/>
      <w:r w:rsidRPr="002A0300">
        <w:rPr>
          <w:rFonts w:eastAsia="SimSun" w:asciiTheme="minorBidi" w:hAnsiTheme="minorBidi"/>
          <w:color w:val="000000"/>
          <w:lang w:val="en-US" w:eastAsia="zh-CN"/>
        </w:rPr>
        <w:t xml:space="preserve"> environmental, social and governance profile of the investee companies.</w:t>
      </w:r>
      <w:r w:rsidR="00F8579F">
        <w:rPr>
          <w:rFonts w:eastAsia="SimSun" w:asciiTheme="minorBidi" w:hAnsiTheme="minorBidi"/>
          <w:color w:val="000000"/>
          <w:lang w:val="en-US" w:eastAsia="zh-CN"/>
        </w:rPr>
        <w:t xml:space="preserve"> The weighted average score of the portfolio must be higher </w:t>
      </w:r>
      <w:proofErr w:type="spellStart"/>
      <w:proofErr w:type="gramStart"/>
      <w:r w:rsidR="00F8579F">
        <w:rPr>
          <w:rFonts w:eastAsia="SimSun" w:asciiTheme="minorBidi" w:hAnsiTheme="minorBidi"/>
          <w:color w:val="000000"/>
          <w:lang w:val="en-US" w:eastAsia="zh-CN"/>
        </w:rPr>
        <w:t>that</w:t>
      </w:r>
      <w:proofErr w:type="spellEnd"/>
      <w:proofErr w:type="gramEnd"/>
      <w:r w:rsidR="00F8579F">
        <w:rPr>
          <w:rFonts w:eastAsia="SimSun" w:asciiTheme="minorBidi" w:hAnsiTheme="minorBidi"/>
          <w:color w:val="000000"/>
          <w:lang w:val="en-US" w:eastAsia="zh-CN"/>
        </w:rPr>
        <w:t xml:space="preserve"> that of its investment universe.</w:t>
      </w:r>
    </w:p>
    <w:p w:rsidRPr="002A0300" w:rsidR="00F8579F" w:rsidP="002A0300" w:rsidRDefault="00F8579F" w14:paraId="15A2C9C3" w14:textId="32B84EE0">
      <w:pPr>
        <w:tabs>
          <w:tab w:val="decimal" w:pos="216"/>
        </w:tabs>
        <w:spacing w:before="144"/>
        <w:rPr>
          <w:rFonts w:eastAsia="SimSun" w:asciiTheme="minorBidi" w:hAnsiTheme="minorBidi"/>
          <w:color w:val="000000"/>
          <w:lang w:val="en-US" w:eastAsia="zh-CN"/>
        </w:rPr>
      </w:pPr>
      <w:r>
        <w:rPr>
          <w:rFonts w:eastAsia="SimSun" w:asciiTheme="minorBidi" w:hAnsiTheme="minorBidi"/>
          <w:color w:val="000000"/>
          <w:lang w:val="en-US" w:eastAsia="zh-CN"/>
        </w:rPr>
        <w:t>Further details about these indicators can be found in this disclosure.</w:t>
      </w:r>
    </w:p>
    <w:p w:rsidRPr="002A0300" w:rsidR="002A0300" w:rsidP="002A0300" w:rsidRDefault="002A0300" w14:paraId="6FA1E737" w14:textId="00D31B04">
      <w:pPr>
        <w:tabs>
          <w:tab w:val="decimal" w:pos="216"/>
        </w:tabs>
        <w:spacing w:before="144"/>
        <w:rPr>
          <w:rFonts w:eastAsia="SimSun" w:asciiTheme="minorBidi" w:hAnsiTheme="minorBidi"/>
          <w:color w:val="000000"/>
          <w:lang w:val="en-US" w:eastAsia="zh-CN"/>
        </w:rPr>
      </w:pPr>
      <w:r w:rsidRPr="002A0300">
        <w:rPr>
          <w:rFonts w:eastAsia="SimSun" w:asciiTheme="minorBidi" w:hAnsiTheme="minorBidi"/>
          <w:color w:val="000000"/>
          <w:lang w:val="en-US" w:eastAsia="zh-CN"/>
        </w:rPr>
        <w:t>To undertake the ESG rating analysis, sustainable characteristics of the underlying investments are defined by reference to a combination of data generated internally by the Investment Manager's proprietary models and data provided by leading external ESG research providers.</w:t>
      </w:r>
    </w:p>
    <w:p w:rsidRPr="002A0300" w:rsidR="002A0300" w:rsidP="002A0300" w:rsidRDefault="002A0300" w14:paraId="31300C7D" w14:textId="5C830960">
      <w:pPr>
        <w:tabs>
          <w:tab w:val="decimal" w:pos="216"/>
        </w:tabs>
        <w:spacing w:before="144"/>
        <w:rPr>
          <w:rFonts w:eastAsia="SimSun" w:asciiTheme="minorBidi" w:hAnsiTheme="minorBidi"/>
          <w:color w:val="000000"/>
          <w:lang w:val="en-US" w:eastAsia="zh-CN"/>
        </w:rPr>
      </w:pPr>
      <w:r w:rsidRPr="002A0300">
        <w:rPr>
          <w:rFonts w:eastAsia="SimSun" w:asciiTheme="minorBidi" w:hAnsiTheme="minorBidi"/>
          <w:color w:val="000000"/>
          <w:lang w:val="en-US" w:eastAsia="zh-CN"/>
        </w:rPr>
        <w:t>These strategies are monitored through specific investment limits that allow both ex-ante control during preparation of orders and ex-post controls</w:t>
      </w:r>
      <w:r w:rsidR="00F8579F">
        <w:rPr>
          <w:rFonts w:eastAsia="SimSun" w:asciiTheme="minorBidi" w:hAnsiTheme="minorBidi"/>
          <w:color w:val="000000"/>
          <w:lang w:val="en-US" w:eastAsia="zh-CN"/>
        </w:rPr>
        <w:t xml:space="preserve"> coded in the Investment Manager’s Portfolio Management System.</w:t>
      </w:r>
    </w:p>
    <w:p w:rsidRPr="002A0300" w:rsidR="002A0300" w:rsidP="002A0300" w:rsidRDefault="002A0300" w14:paraId="1B5BD348" w14:textId="372CEA0A">
      <w:pPr>
        <w:spacing w:after="160" w:line="259" w:lineRule="auto"/>
        <w:rPr>
          <w:rFonts w:eastAsia="Calibri" w:asciiTheme="minorBidi" w:hAnsiTheme="minorBidi"/>
          <w:b/>
          <w:i/>
          <w:noProof/>
        </w:rPr>
      </w:pPr>
    </w:p>
    <w:bookmarkStart w:name="_Hlk76156750" w:id="146"/>
    <w:p w:rsidRPr="002A0300" w:rsidR="002A0300" w:rsidP="002A0300" w:rsidRDefault="002A0300" w14:paraId="2CC529A7" w14:textId="7FB72CDE">
      <w:pPr>
        <w:spacing w:after="160" w:line="259" w:lineRule="auto"/>
        <w:ind w:left="851"/>
        <w:rPr>
          <w:rFonts w:eastAsia="Calibri" w:asciiTheme="minorBidi" w:hAnsiTheme="minorBidi"/>
          <w:bCs/>
          <w:i/>
          <w:iCs/>
          <w:noProof/>
          <w:color w:val="C00000"/>
          <w:sz w:val="18"/>
          <w:lang w:eastAsia="zh-CN"/>
        </w:rPr>
      </w:pPr>
      <w:r w:rsidRPr="002A0300">
        <w:rPr>
          <w:rFonts w:eastAsia="Calibri" w:asciiTheme="minorBidi" w:hAnsiTheme="minorBidi"/>
          <w:b/>
          <w:bCs/>
          <w:i/>
          <w:iCs/>
          <w:noProof/>
          <w:lang w:eastAsia="zh-CN"/>
        </w:rPr>
        <mc:AlternateContent>
          <mc:Choice Requires="wps">
            <w:drawing>
              <wp:anchor distT="0" distB="0" distL="114300" distR="114300" simplePos="0" relativeHeight="251658255" behindDoc="0" locked="0" layoutInCell="1" allowOverlap="1" wp14:editId="2ECF2377" wp14:anchorId="291DE612">
                <wp:simplePos x="0" y="0"/>
                <wp:positionH relativeFrom="column">
                  <wp:posOffset>281269</wp:posOffset>
                </wp:positionH>
                <wp:positionV relativeFrom="paragraph">
                  <wp:posOffset>19597</wp:posOffset>
                </wp:positionV>
                <wp:extent cx="130175" cy="130175"/>
                <wp:effectExtent l="0" t="0" r="3175" b="3175"/>
                <wp:wrapNone/>
                <wp:docPr id="349" name="Oval 3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49" style="position:absolute;margin-left:22.15pt;margin-top:1.55pt;width:10.25pt;height:10.25pt;z-index:25165825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" w14:anchorId="54C1957F">
                <v:stroke joinstyle="miter"/>
              </v:oval>
            </w:pict>
          </mc:Fallback>
        </mc:AlternateContent>
      </w:r>
      <w:r w:rsidRPr="002A0300">
        <w:rPr>
          <w:rFonts w:eastAsia="Calibri" w:asciiTheme="minorBidi" w:hAnsiTheme="minorBidi"/>
          <w:b/>
          <w:bCs/>
          <w:i/>
          <w:iCs/>
          <w:noProof/>
        </w:rPr>
        <w:t>What are the objectives of the sustainable investments that the financial product partially intends to make and how does the sustainable investment contribute to such objectives?</w:t>
      </w:r>
      <w:r w:rsidRPr="002A0300">
        <w:rPr>
          <w:rFonts w:eastAsia="Calibri" w:asciiTheme="minorBidi" w:hAnsiTheme="minorBidi"/>
          <w:bCs/>
          <w:i/>
          <w:iCs/>
          <w:noProof/>
          <w:color w:val="C00000"/>
          <w:sz w:val="18"/>
          <w:lang w:eastAsia="zh-CN"/>
        </w:rPr>
        <w:t xml:space="preserve"> </w:t>
      </w:r>
    </w:p>
    <w:p w:rsidRPr="002A0300" w:rsidR="002A0300" w:rsidP="002A0300" w:rsidRDefault="00C41211" w14:paraId="22DBC3DC" w14:textId="45C817A6">
      <w:pPr>
        <w:tabs>
          <w:tab w:val="decimal" w:pos="216"/>
        </w:tabs>
        <w:spacing w:before="144"/>
        <w:rPr>
          <w:rFonts w:eastAsia="SimSun" w:asciiTheme="minorBidi" w:hAnsiTheme="minorBidi"/>
          <w:color w:val="000000"/>
          <w:lang w:val="en-US" w:eastAsia="zh-CN"/>
        </w:rPr>
      </w:pPr>
      <w:r w:rsidRPr="002A0300">
        <w:rPr>
          <w:rFonts w:eastAsia="SimSun" w:asciiTheme="minorBidi" w:hAnsiTheme="minorBidi"/>
          <w:noProof/>
          <w:sz w:val="18"/>
          <w:szCs w:val="18"/>
          <w:lang w:eastAsia="zh-CN"/>
        </w:rPr>
        <mc:AlternateContent>
          <mc:Choice Requires="wps">
            <w:drawing>
              <wp:anchor distT="0" distB="0" distL="114300" distR="114300" simplePos="0" relativeHeight="251658265" behindDoc="0" locked="0" layoutInCell="1" allowOverlap="1" wp14:editId="38B874BA" wp14:anchorId="1F5F4E69">
                <wp:simplePos x="0" y="0"/>
                <wp:positionH relativeFrom="page">
                  <wp:posOffset>28575</wp:posOffset>
                </wp:positionH>
                <wp:positionV relativeFrom="margin">
                  <wp:posOffset>7465060</wp:posOffset>
                </wp:positionV>
                <wp:extent cx="1225550" cy="2122170"/>
                <wp:effectExtent l="0" t="0" r="0" b="0"/>
                <wp:wrapSquare wrapText="bothSides"/>
                <wp:docPr id="375" name="Rectangle 375"/>
                <wp:cNvGraphicFramePr/>
                <a:graphic xmlns:a="http://schemas.openxmlformats.org/drawingml/2006/main">
                  <a:graphicData uri="http://schemas.microsoft.com/office/word/2010/wordprocessingShape">
                    <wps:wsp>
                      <wps:cNvSpPr/>
                      <wps:spPr>
                        <a:xfrm>
                          <a:off x="0" y="0"/>
                          <a:ext cx="1225550" cy="2122170"/>
                        </a:xfrm>
                        <a:prstGeom prst="rect">
                          <a:avLst/>
                        </a:prstGeom>
                        <a:solidFill>
                          <a:sysClr val="window" lastClr="FFFFFF">
                            <a:lumMod val="95000"/>
                          </a:sysClr>
                        </a:solidFill>
                        <a:ln w="12700" cap="flat" cmpd="sng" algn="ctr">
                          <a:noFill/>
                          <a:prstDash val="solid"/>
                          <a:miter lim="800000"/>
                        </a:ln>
                        <a:effectLst/>
                      </wps:spPr>
                      <wps:txbx>
                        <w:txbxContent>
                          <w:p w:rsidRPr="006857A9" w:rsidR="002A0300" w:rsidP="002A0300" w:rsidRDefault="002A0300" w14:paraId="720B278C" w14:textId="77777777">
                            <w:pPr>
                              <w:ind w:left="-142" w:right="-322"/>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5" style="position:absolute;left:0;text-align:left;margin-left:2.25pt;margin-top:587.8pt;width:96.5pt;height:167.1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9"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" w14:anchorId="1F5F4E69">
                <v:textbox inset="4mm,1mm,7mm">
                  <w:txbxContent>
                    <w:p w:rsidRPr="006857A9" w:rsidR="002A0300" w:rsidP="002A0300" w:rsidRDefault="002A0300" w14:paraId="720B278C" w14:textId="77777777">
                      <w:pPr>
                        <w:ind w:left="-142" w:right="-322"/>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v:textbox>
                <w10:wrap type="square" anchorx="page" anchory="margin"/>
              </v:rect>
            </w:pict>
          </mc:Fallback>
        </mc:AlternateContent>
      </w:r>
      <w:r w:rsidRPr="002A0300" w:rsidR="002A0300">
        <w:rPr>
          <w:rFonts w:eastAsia="SimSun" w:asciiTheme="minorBidi" w:hAnsiTheme="minorBidi"/>
          <w:color w:val="000000"/>
          <w:lang w:val="en-US" w:eastAsia="zh-CN"/>
        </w:rPr>
        <w:t xml:space="preserve">Not </w:t>
      </w:r>
      <w:r w:rsidRPr="003A77A4" w:rsidR="003A77A4">
        <w:rPr>
          <w:rFonts w:eastAsia="SimSun" w:asciiTheme="minorBidi" w:hAnsiTheme="minorBidi"/>
          <w:color w:val="000000"/>
          <w:lang w:val="en-US" w:eastAsia="zh-CN"/>
        </w:rPr>
        <w:t xml:space="preserve">applicable. The Sub-Fund promotes environmental </w:t>
      </w:r>
      <w:proofErr w:type="gramStart"/>
      <w:r w:rsidRPr="003A77A4" w:rsidR="003A77A4">
        <w:rPr>
          <w:rFonts w:eastAsia="SimSun" w:asciiTheme="minorBidi" w:hAnsiTheme="minorBidi"/>
          <w:color w:val="000000"/>
          <w:lang w:val="en-US" w:eastAsia="zh-CN"/>
        </w:rPr>
        <w:t>characteristics</w:t>
      </w:r>
      <w:proofErr w:type="gramEnd"/>
      <w:r w:rsidRPr="003A77A4" w:rsidR="003A77A4">
        <w:rPr>
          <w:rFonts w:eastAsia="SimSun" w:asciiTheme="minorBidi" w:hAnsiTheme="minorBidi"/>
          <w:color w:val="000000"/>
          <w:lang w:val="en-US" w:eastAsia="zh-CN"/>
        </w:rPr>
        <w:t xml:space="preserve"> but it does not commit itself to </w:t>
      </w:r>
      <w:proofErr w:type="gramStart"/>
      <w:r w:rsidRPr="003A77A4" w:rsidR="003A77A4">
        <w:rPr>
          <w:rFonts w:eastAsia="SimSun" w:asciiTheme="minorBidi" w:hAnsiTheme="minorBidi"/>
          <w:color w:val="000000"/>
          <w:lang w:val="en-US" w:eastAsia="zh-CN"/>
        </w:rPr>
        <w:t>make</w:t>
      </w:r>
      <w:proofErr w:type="gramEnd"/>
      <w:r w:rsidRPr="003A77A4" w:rsidR="003A77A4">
        <w:rPr>
          <w:rFonts w:eastAsia="SimSun" w:asciiTheme="minorBidi" w:hAnsiTheme="minorBidi"/>
          <w:color w:val="000000"/>
          <w:lang w:val="en-US" w:eastAsia="zh-CN"/>
        </w:rPr>
        <w:t xml:space="preserve"> sustainable investments within the meaning of art. 2(17) of Regulation (EU) 2019/2088.</w:t>
      </w:r>
    </w:p>
    <w:p w:rsidRPr="002A0300" w:rsidR="002A0300" w:rsidP="002A0300" w:rsidRDefault="002A0300" w14:paraId="63F5A0BE" w14:textId="4AEEC9FF">
      <w:pPr>
        <w:spacing w:after="160" w:line="259" w:lineRule="auto"/>
        <w:ind w:left="851"/>
        <w:rPr>
          <w:rFonts w:eastAsia="Calibri" w:asciiTheme="minorBidi" w:hAnsiTheme="minorBidi"/>
          <w:b/>
          <w:bCs/>
          <w:i/>
          <w:iCs/>
          <w:noProof/>
          <w:lang w:val="en-US"/>
        </w:rPr>
      </w:pPr>
    </w:p>
    <w:bookmarkEnd w:id="146"/>
    <w:p w:rsidRPr="002A0300" w:rsidR="002A0300" w:rsidP="002A0300" w:rsidRDefault="002A0300" w14:paraId="61248059" w14:textId="3D24E439">
      <w:pPr>
        <w:spacing w:after="160" w:line="259" w:lineRule="auto"/>
        <w:ind w:left="851"/>
        <w:rPr>
          <w:rFonts w:eastAsia="Calibri" w:asciiTheme="minorBidi" w:hAnsiTheme="minorBidi"/>
          <w:b/>
          <w:bCs/>
          <w:i/>
          <w:iCs/>
          <w:noProof/>
        </w:rPr>
      </w:pPr>
      <w:r w:rsidRPr="002A0300">
        <w:rPr>
          <w:rFonts w:eastAsia="SimSun" w:asciiTheme="minorBidi" w:hAnsiTheme="minorBidi"/>
          <w:b/>
          <w:bCs/>
          <w:i/>
          <w:iCs/>
          <w:noProof/>
          <w:lang w:eastAsia="zh-CN"/>
        </w:rPr>
        <mc:AlternateContent>
          <mc:Choice Requires="wps">
            <w:drawing>
              <wp:anchor distT="0" distB="0" distL="114300" distR="114300" simplePos="0" relativeHeight="251658256" behindDoc="0" locked="0" layoutInCell="1" allowOverlap="1" wp14:editId="2ECD749A" wp14:anchorId="3421494A">
                <wp:simplePos x="0" y="0"/>
                <wp:positionH relativeFrom="column">
                  <wp:posOffset>347345</wp:posOffset>
                </wp:positionH>
                <wp:positionV relativeFrom="paragraph">
                  <wp:posOffset>158164</wp:posOffset>
                </wp:positionV>
                <wp:extent cx="0" cy="1849755"/>
                <wp:effectExtent l="0" t="0" r="19050" b="0"/>
                <wp:wrapNone/>
                <wp:docPr id="61" name="Straight Connector 61"/>
                <wp:cNvGraphicFramePr/>
                <a:graphic xmlns:a="http://schemas.openxmlformats.org/drawingml/2006/main">
                  <a:graphicData uri="http://schemas.microsoft.com/office/word/2010/wordprocessingShape">
                    <wps:wsp>
                      <wps:cNvCnPr/>
                      <wps:spPr>
                        <a:xfrm flipH="1">
                          <a:off x="0" y="0"/>
                          <a:ext cx="0" cy="1849755"/>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1" style="position:absolute;flip:x;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7e6e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" from="27.35pt,12.45pt" to="27.35pt,158.1pt" w14:anchorId="77ADD571">
                <v:stroke joinstyle="miter" dashstyle="longDash"/>
              </v:line>
            </w:pict>
          </mc:Fallback>
        </mc:AlternateContent>
      </w:r>
      <w:r w:rsidRPr="002A0300">
        <w:rPr>
          <w:rFonts w:eastAsia="Calibri" w:asciiTheme="minorBidi" w:hAnsiTheme="minorBidi"/>
          <w:b/>
          <w:bCs/>
          <w:i/>
          <w:iCs/>
          <w:noProof/>
          <w:lang w:eastAsia="zh-CN"/>
        </w:rPr>
        <mc:AlternateContent>
          <mc:Choice Requires="wps">
            <w:drawing>
              <wp:anchor distT="0" distB="0" distL="114300" distR="114300" simplePos="0" relativeHeight="251658271" behindDoc="0" locked="0" layoutInCell="1" allowOverlap="1" wp14:editId="510E5598" wp14:anchorId="786B0CE9">
                <wp:simplePos x="0" y="0"/>
                <wp:positionH relativeFrom="column">
                  <wp:posOffset>278960</wp:posOffset>
                </wp:positionH>
                <wp:positionV relativeFrom="paragraph">
                  <wp:posOffset>29210</wp:posOffset>
                </wp:positionV>
                <wp:extent cx="130175" cy="130175"/>
                <wp:effectExtent l="0" t="0" r="3175" b="3175"/>
                <wp:wrapNone/>
                <wp:docPr id="5" name="Oval 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style="position:absolute;margin-left:21.95pt;margin-top:2.3pt;width:10.25pt;height:10.25pt;z-index:25165827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" w14:anchorId="239608A1">
                <v:stroke joinstyle="miter"/>
              </v:oval>
            </w:pict>
          </mc:Fallback>
        </mc:AlternateContent>
      </w:r>
      <w:r w:rsidRPr="002A0300">
        <w:rPr>
          <w:rFonts w:eastAsia="Calibri" w:asciiTheme="minorBidi" w:hAnsiTheme="minorBidi"/>
          <w:b/>
          <w:bCs/>
          <w:i/>
          <w:iCs/>
          <w:noProof/>
        </w:rPr>
        <w:t>How do the sustainable investments that the financial product partially intends to make, not cause significant harm</w:t>
      </w:r>
      <w:r w:rsidRPr="002A0300">
        <w:rPr>
          <w:rFonts w:eastAsia="SimSun" w:asciiTheme="minorBidi" w:hAnsiTheme="minorBidi"/>
          <w:b/>
          <w:bCs/>
          <w:i/>
          <w:iCs/>
          <w:noProof/>
          <w:lang w:eastAsia="zh-CN"/>
        </w:rPr>
        <w:t xml:space="preserve"> to any </w:t>
      </w:r>
      <w:bookmarkStart w:name="_Hlk76165400" w:id="147"/>
      <w:r w:rsidRPr="002A0300">
        <w:rPr>
          <w:rFonts w:eastAsia="SimSun" w:asciiTheme="minorBidi" w:hAnsiTheme="minorBidi"/>
          <w:b/>
          <w:bCs/>
          <w:i/>
          <w:iCs/>
          <w:noProof/>
          <w:lang w:eastAsia="zh-CN"/>
        </w:rPr>
        <w:t xml:space="preserve">environmental or social </w:t>
      </w:r>
      <w:bookmarkEnd w:id="147"/>
      <w:r w:rsidRPr="002A0300">
        <w:rPr>
          <w:rFonts w:eastAsia="SimSun" w:asciiTheme="minorBidi" w:hAnsiTheme="minorBidi"/>
          <w:b/>
          <w:bCs/>
          <w:i/>
          <w:iCs/>
          <w:noProof/>
          <w:lang w:eastAsia="zh-CN"/>
        </w:rPr>
        <w:t>sustainable investment objective</w:t>
      </w:r>
      <w:r w:rsidRPr="002A0300">
        <w:rPr>
          <w:rFonts w:eastAsia="Calibri" w:asciiTheme="minorBidi" w:hAnsiTheme="minorBidi"/>
          <w:b/>
          <w:bCs/>
          <w:i/>
          <w:iCs/>
          <w:noProof/>
        </w:rPr>
        <w:t xml:space="preserve">? </w:t>
      </w:r>
    </w:p>
    <w:p w:rsidRPr="002A0300" w:rsidR="002A0300" w:rsidP="002A0300" w:rsidRDefault="002A0300" w14:paraId="505CC2AD" w14:textId="04B2207A">
      <w:pPr>
        <w:tabs>
          <w:tab w:val="decimal" w:pos="216"/>
        </w:tabs>
        <w:spacing w:before="144"/>
        <w:rPr>
          <w:rFonts w:eastAsia="SimSun" w:asciiTheme="minorBidi" w:hAnsiTheme="minorBidi"/>
          <w:color w:val="000000"/>
          <w:lang w:val="en-US" w:eastAsia="zh-CN"/>
        </w:rPr>
      </w:pPr>
      <w:r w:rsidRPr="002A0300">
        <w:rPr>
          <w:rFonts w:eastAsia="SimSun" w:asciiTheme="minorBidi" w:hAnsiTheme="minorBidi"/>
          <w:color w:val="000000"/>
          <w:lang w:val="en-US" w:eastAsia="zh-CN"/>
        </w:rPr>
        <w:t>Not applicable. The Sub-Fund does not pursue a sustainable investment objective within the meaning of art. 2(17) of Regulation (EU) 2019/2088.</w:t>
      </w:r>
    </w:p>
    <w:p w:rsidRPr="002A0300" w:rsidR="002A0300" w:rsidP="002A0300" w:rsidRDefault="002A0300" w14:paraId="11A559B7" w14:textId="6AAD4038">
      <w:pPr>
        <w:spacing w:after="160" w:line="259" w:lineRule="auto"/>
        <w:ind w:left="851"/>
        <w:rPr>
          <w:rFonts w:eastAsia="Calibri" w:asciiTheme="minorBidi" w:hAnsiTheme="minorBidi"/>
          <w:b/>
          <w:bCs/>
          <w:i/>
          <w:iCs/>
          <w:noProof/>
        </w:rPr>
      </w:pPr>
    </w:p>
    <w:p w:rsidRPr="002A0300" w:rsidR="002A0300" w:rsidP="002A0300" w:rsidRDefault="002A0300" w14:paraId="0F6F866B" w14:textId="78141A9C">
      <w:pPr>
        <w:ind w:left="1276"/>
        <w:rPr>
          <w:rFonts w:eastAsia="SimSun" w:asciiTheme="minorBidi" w:hAnsiTheme="minorBidi"/>
          <w:bCs/>
          <w:i/>
          <w:iCs/>
          <w:noProof/>
          <w:lang w:eastAsia="zh-CN"/>
        </w:rPr>
      </w:pPr>
      <w:r w:rsidRPr="002A0300">
        <w:rPr>
          <w:rFonts w:eastAsia="SimSun" w:asciiTheme="minorBidi" w:hAnsiTheme="minorBidi"/>
          <w:b/>
          <w:bCs/>
          <w:i/>
          <w:iCs/>
          <w:noProof/>
          <w:lang w:eastAsia="zh-CN"/>
        </w:rPr>
        <mc:AlternateContent>
          <mc:Choice Requires="wps">
            <w:drawing>
              <wp:anchor distT="0" distB="0" distL="114300" distR="114300" simplePos="0" relativeHeight="251658251" behindDoc="0" locked="0" layoutInCell="1" allowOverlap="1" wp14:editId="63ADE0F7" wp14:anchorId="5F48C051">
                <wp:simplePos x="0" y="0"/>
                <wp:positionH relativeFrom="column">
                  <wp:posOffset>367859</wp:posOffset>
                </wp:positionH>
                <wp:positionV relativeFrom="paragraph">
                  <wp:posOffset>101209</wp:posOffset>
                </wp:positionV>
                <wp:extent cx="321457" cy="0"/>
                <wp:effectExtent l="0" t="0" r="21590" b="19050"/>
                <wp:wrapNone/>
                <wp:docPr id="347" name="Straight Connector 347"/>
                <wp:cNvGraphicFramePr/>
                <a:graphic xmlns:a="http://schemas.openxmlformats.org/drawingml/2006/main">
                  <a:graphicData uri="http://schemas.microsoft.com/office/word/2010/wordprocessingShape">
                    <wps:wsp>
                      <wps:cNvCnPr/>
                      <wps:spPr>
                        <a:xfrm flipH="1">
                          <a:off x="0" y="0"/>
                          <a:ext cx="321457"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7"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7e6e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" from="28.95pt,7.95pt" to="54.25pt,7.95pt" w14:anchorId="007893E2">
                <v:stroke joinstyle="miter" dashstyle="longDash"/>
              </v:line>
            </w:pict>
          </mc:Fallback>
        </mc:AlternateContent>
      </w:r>
      <w:r w:rsidRPr="002A0300">
        <w:rPr>
          <w:rFonts w:eastAsia="SimSun" w:asciiTheme="minorBidi" w:hAnsiTheme="minorBidi"/>
          <w:bCs/>
          <w:i/>
          <w:iCs/>
          <w:noProof/>
          <w:lang w:eastAsia="zh-CN"/>
        </w:rPr>
        <w:t xml:space="preserve">How have the indicators for adverse impacts on sustainability factors been taken into account? </w:t>
      </w:r>
    </w:p>
    <w:p w:rsidRPr="002A0300" w:rsidR="002A0300" w:rsidP="002A0300" w:rsidRDefault="002A0300" w14:paraId="44846E8B" w14:textId="4205468A">
      <w:pPr>
        <w:tabs>
          <w:tab w:val="decimal" w:pos="216"/>
        </w:tabs>
        <w:spacing w:before="144"/>
        <w:rPr>
          <w:rFonts w:eastAsia="SimSun" w:asciiTheme="minorBidi" w:hAnsiTheme="minorBidi"/>
          <w:color w:val="000000"/>
          <w:lang w:val="en-US" w:eastAsia="zh-CN"/>
        </w:rPr>
      </w:pPr>
      <w:r w:rsidRPr="002A0300">
        <w:rPr>
          <w:rFonts w:eastAsia="SimSun" w:asciiTheme="minorBidi" w:hAnsiTheme="minorBidi"/>
          <w:color w:val="000000"/>
          <w:lang w:val="en-US" w:eastAsia="zh-CN"/>
        </w:rPr>
        <w:lastRenderedPageBreak/>
        <w:t>Not applicable. The Sub-Fund does not pursue a sustainable investment objective within the meaning of art. 2(17) of Regulation (EU) 2019/2088.</w:t>
      </w:r>
    </w:p>
    <w:p w:rsidRPr="002A0300" w:rsidR="002A0300" w:rsidP="002A0300" w:rsidRDefault="002A0300" w14:paraId="2791A2C3" w14:textId="110AA327">
      <w:pPr>
        <w:ind w:left="1276"/>
        <w:rPr>
          <w:rFonts w:eastAsia="SimSun" w:asciiTheme="minorBidi" w:hAnsiTheme="minorBidi"/>
          <w:bCs/>
          <w:i/>
          <w:iCs/>
          <w:noProof/>
          <w:lang w:eastAsia="zh-CN"/>
        </w:rPr>
      </w:pPr>
    </w:p>
    <w:p w:rsidR="00F8579F" w:rsidP="002A0300" w:rsidRDefault="00F8579F" w14:paraId="5F046603" w14:textId="77777777">
      <w:pPr>
        <w:ind w:left="1276"/>
        <w:rPr>
          <w:rFonts w:eastAsia="SimSun" w:asciiTheme="minorBidi" w:hAnsiTheme="minorBidi"/>
          <w:i/>
          <w:noProof/>
          <w:lang w:eastAsia="zh-CN"/>
        </w:rPr>
      </w:pPr>
    </w:p>
    <w:p w:rsidR="00F8579F" w:rsidP="002A0300" w:rsidRDefault="00F8579F" w14:paraId="5FDAC26B" w14:textId="42FB649D">
      <w:pPr>
        <w:ind w:left="1276"/>
        <w:rPr>
          <w:rFonts w:eastAsia="SimSun" w:asciiTheme="minorBidi" w:hAnsiTheme="minorBidi"/>
          <w:i/>
          <w:noProof/>
          <w:lang w:eastAsia="zh-CN"/>
        </w:rPr>
      </w:pPr>
    </w:p>
    <w:p w:rsidR="00F8579F" w:rsidP="002A0300" w:rsidRDefault="00F8579F" w14:paraId="4416D6C9" w14:textId="77777777">
      <w:pPr>
        <w:ind w:left="1276"/>
        <w:rPr>
          <w:rFonts w:eastAsia="SimSun" w:asciiTheme="minorBidi" w:hAnsiTheme="minorBidi"/>
          <w:i/>
          <w:noProof/>
          <w:lang w:eastAsia="zh-CN"/>
        </w:rPr>
      </w:pPr>
    </w:p>
    <w:p w:rsidR="00F8579F" w:rsidP="002A0300" w:rsidRDefault="00F8579F" w14:paraId="544141B7" w14:textId="77777777">
      <w:pPr>
        <w:ind w:left="1276"/>
        <w:rPr>
          <w:rFonts w:eastAsia="SimSun" w:asciiTheme="minorBidi" w:hAnsiTheme="minorBidi"/>
          <w:i/>
          <w:noProof/>
          <w:lang w:eastAsia="zh-CN"/>
        </w:rPr>
      </w:pPr>
    </w:p>
    <w:p w:rsidR="00F8579F" w:rsidP="002A0300" w:rsidRDefault="00F8579F" w14:paraId="4A4B64F0" w14:textId="59F82DE6">
      <w:pPr>
        <w:ind w:left="1276"/>
        <w:rPr>
          <w:rFonts w:eastAsia="SimSun" w:asciiTheme="minorBidi" w:hAnsiTheme="minorBidi"/>
          <w:i/>
          <w:noProof/>
          <w:lang w:eastAsia="zh-CN"/>
        </w:rPr>
      </w:pPr>
    </w:p>
    <w:p w:rsidR="00F8579F" w:rsidP="002A0300" w:rsidRDefault="00F8579F" w14:paraId="55D80393" w14:textId="34D11BED">
      <w:pPr>
        <w:ind w:left="1276"/>
        <w:rPr>
          <w:rFonts w:eastAsia="SimSun" w:asciiTheme="minorBidi" w:hAnsiTheme="minorBidi"/>
          <w:i/>
          <w:noProof/>
          <w:lang w:eastAsia="zh-CN"/>
        </w:rPr>
      </w:pPr>
    </w:p>
    <w:p w:rsidR="00F8579F" w:rsidP="002A0300" w:rsidRDefault="00F8579F" w14:paraId="43D09EFC" w14:textId="78269213">
      <w:pPr>
        <w:ind w:left="1276"/>
        <w:rPr>
          <w:rFonts w:eastAsia="SimSun" w:asciiTheme="minorBidi" w:hAnsiTheme="minorBidi"/>
          <w:i/>
          <w:noProof/>
          <w:lang w:eastAsia="zh-CN"/>
        </w:rPr>
      </w:pPr>
    </w:p>
    <w:p w:rsidR="00F8579F" w:rsidP="002A0300" w:rsidRDefault="00F8579F" w14:paraId="2760E611" w14:textId="2BFD6F36">
      <w:pPr>
        <w:ind w:left="1276"/>
        <w:rPr>
          <w:rFonts w:eastAsia="SimSun" w:asciiTheme="minorBidi" w:hAnsiTheme="minorBidi"/>
          <w:i/>
          <w:noProof/>
          <w:lang w:eastAsia="zh-CN"/>
        </w:rPr>
      </w:pPr>
    </w:p>
    <w:p w:rsidR="00F8579F" w:rsidP="002A0300" w:rsidRDefault="00F8579F" w14:paraId="453F2B0F" w14:textId="56EF8B0E">
      <w:pPr>
        <w:ind w:left="1276"/>
        <w:rPr>
          <w:rFonts w:eastAsia="SimSun" w:asciiTheme="minorBidi" w:hAnsiTheme="minorBidi"/>
          <w:i/>
          <w:noProof/>
          <w:lang w:eastAsia="zh-CN"/>
        </w:rPr>
      </w:pPr>
    </w:p>
    <w:p w:rsidR="00F8579F" w:rsidP="002A0300" w:rsidRDefault="00F8579F" w14:paraId="44BB73E1" w14:textId="0F9D2DB5">
      <w:pPr>
        <w:ind w:left="1276"/>
        <w:rPr>
          <w:rFonts w:eastAsia="SimSun" w:asciiTheme="minorBidi" w:hAnsiTheme="minorBidi"/>
          <w:i/>
          <w:noProof/>
          <w:lang w:eastAsia="zh-CN"/>
        </w:rPr>
      </w:pPr>
    </w:p>
    <w:p w:rsidR="00F8579F" w:rsidP="002A0300" w:rsidRDefault="00F8579F" w14:paraId="0F4E58EB" w14:textId="77777777">
      <w:pPr>
        <w:ind w:left="1276"/>
        <w:rPr>
          <w:rFonts w:eastAsia="SimSun" w:asciiTheme="minorBidi" w:hAnsiTheme="minorBidi"/>
          <w:i/>
          <w:noProof/>
          <w:lang w:eastAsia="zh-CN"/>
        </w:rPr>
      </w:pPr>
    </w:p>
    <w:p w:rsidR="00F8579F" w:rsidP="002A0300" w:rsidRDefault="00F8579F" w14:paraId="1F758659" w14:textId="77777777">
      <w:pPr>
        <w:ind w:left="1276"/>
        <w:rPr>
          <w:rFonts w:eastAsia="SimSun" w:asciiTheme="minorBidi" w:hAnsiTheme="minorBidi"/>
          <w:i/>
          <w:noProof/>
          <w:lang w:eastAsia="zh-CN"/>
        </w:rPr>
      </w:pPr>
    </w:p>
    <w:p w:rsidR="00F8579F" w:rsidP="002A0300" w:rsidRDefault="00F8579F" w14:paraId="41FD53F1" w14:textId="77777777">
      <w:pPr>
        <w:ind w:left="1276"/>
        <w:rPr>
          <w:rFonts w:eastAsia="SimSun" w:asciiTheme="minorBidi" w:hAnsiTheme="minorBidi"/>
          <w:i/>
          <w:noProof/>
          <w:lang w:eastAsia="zh-CN"/>
        </w:rPr>
      </w:pPr>
    </w:p>
    <w:p w:rsidR="00F8579F" w:rsidP="002A0300" w:rsidRDefault="00F8579F" w14:paraId="02134725" w14:textId="77777777">
      <w:pPr>
        <w:ind w:left="1276"/>
        <w:rPr>
          <w:rFonts w:eastAsia="SimSun" w:asciiTheme="minorBidi" w:hAnsiTheme="minorBidi"/>
          <w:i/>
          <w:noProof/>
          <w:lang w:eastAsia="zh-CN"/>
        </w:rPr>
      </w:pPr>
    </w:p>
    <w:p w:rsidR="00F8579F" w:rsidP="002A0300" w:rsidRDefault="00F8579F" w14:paraId="7AEB958B" w14:textId="77777777">
      <w:pPr>
        <w:ind w:left="1276"/>
        <w:rPr>
          <w:rFonts w:eastAsia="SimSun" w:asciiTheme="minorBidi" w:hAnsiTheme="minorBidi"/>
          <w:i/>
          <w:noProof/>
          <w:lang w:eastAsia="zh-CN"/>
        </w:rPr>
      </w:pPr>
    </w:p>
    <w:p w:rsidR="00F8579F" w:rsidP="002A0300" w:rsidRDefault="00F8579F" w14:paraId="15D751E1" w14:textId="77777777">
      <w:pPr>
        <w:ind w:left="1276"/>
        <w:rPr>
          <w:rFonts w:eastAsia="SimSun" w:asciiTheme="minorBidi" w:hAnsiTheme="minorBidi"/>
          <w:i/>
          <w:noProof/>
          <w:lang w:eastAsia="zh-CN"/>
        </w:rPr>
      </w:pPr>
    </w:p>
    <w:p w:rsidR="00F8579F" w:rsidP="002A0300" w:rsidRDefault="00F8579F" w14:paraId="6BB84BB2" w14:textId="77777777">
      <w:pPr>
        <w:ind w:left="1276"/>
        <w:rPr>
          <w:rFonts w:eastAsia="SimSun" w:asciiTheme="minorBidi" w:hAnsiTheme="minorBidi"/>
          <w:i/>
          <w:noProof/>
          <w:lang w:eastAsia="zh-CN"/>
        </w:rPr>
      </w:pPr>
    </w:p>
    <w:p w:rsidRPr="002A0300" w:rsidR="002A0300" w:rsidP="002A0300" w:rsidRDefault="002A0300" w14:paraId="191DEBA2" w14:textId="4D164DED">
      <w:pPr>
        <w:ind w:left="1276"/>
        <w:rPr>
          <w:rFonts w:eastAsia="Calibri" w:asciiTheme="minorBidi" w:hAnsiTheme="minorBidi"/>
          <w:bCs/>
          <w:i/>
          <w:iCs/>
          <w:noProof/>
          <w:color w:val="C00000"/>
          <w:sz w:val="18"/>
          <w:lang w:eastAsia="zh-CN"/>
        </w:rPr>
      </w:pPr>
      <w:r w:rsidRPr="002A0300">
        <w:rPr>
          <w:rFonts w:eastAsia="SimSun" w:asciiTheme="minorBidi" w:hAnsiTheme="minorBidi"/>
          <w:b/>
          <w:bCs/>
          <w:i/>
          <w:iCs/>
          <w:noProof/>
          <w:lang w:eastAsia="zh-CN"/>
        </w:rPr>
        <mc:AlternateContent>
          <mc:Choice Requires="wps">
            <w:drawing>
              <wp:anchor distT="0" distB="0" distL="114300" distR="114300" simplePos="0" relativeHeight="251658253" behindDoc="0" locked="0" layoutInCell="1" allowOverlap="1" wp14:editId="58C77A9A" wp14:anchorId="7226E260">
                <wp:simplePos x="0" y="0"/>
                <wp:positionH relativeFrom="column">
                  <wp:posOffset>373721</wp:posOffset>
                </wp:positionH>
                <wp:positionV relativeFrom="paragraph">
                  <wp:posOffset>101893</wp:posOffset>
                </wp:positionV>
                <wp:extent cx="315888" cy="0"/>
                <wp:effectExtent l="0" t="0" r="27305" b="19050"/>
                <wp:wrapNone/>
                <wp:docPr id="70" name="Straight Connector 70"/>
                <wp:cNvGraphicFramePr/>
                <a:graphic xmlns:a="http://schemas.openxmlformats.org/drawingml/2006/main">
                  <a:graphicData uri="http://schemas.microsoft.com/office/word/2010/wordprocessingShape">
                    <wps:wsp>
                      <wps:cNvCnPr/>
                      <wps:spPr>
                        <a:xfrm flipH="1">
                          <a:off x="0" y="0"/>
                          <a:ext cx="315888"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0"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7e6e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" from="29.45pt,8pt" to="54.3pt,8pt" w14:anchorId="009D0DC8">
                <v:stroke joinstyle="miter" dashstyle="longDash"/>
              </v:line>
            </w:pict>
          </mc:Fallback>
        </mc:AlternateContent>
      </w:r>
      <w:r w:rsidRPr="002A0300">
        <w:rPr>
          <w:rFonts w:eastAsia="SimSun" w:asciiTheme="minorBidi" w:hAnsiTheme="minorBidi"/>
          <w:i/>
          <w:noProof/>
          <w:lang w:eastAsia="zh-CN"/>
        </w:rPr>
        <w:t>How are the sustainable investments aligned with the OECD Guidelines for Multinational Enterprises and the UN Guiding Principles on Business and Human Rights? Details:</w:t>
      </w:r>
      <w:r w:rsidRPr="002A0300">
        <w:rPr>
          <w:rFonts w:eastAsia="Calibri" w:asciiTheme="minorBidi" w:hAnsiTheme="minorBidi"/>
          <w:bCs/>
          <w:i/>
          <w:iCs/>
          <w:noProof/>
          <w:color w:val="C00000"/>
          <w:sz w:val="18"/>
          <w:lang w:eastAsia="zh-CN"/>
        </w:rPr>
        <w:t xml:space="preserve"> </w:t>
      </w:r>
    </w:p>
    <w:p w:rsidRPr="002A0300" w:rsidR="002A0300" w:rsidP="002A0300" w:rsidRDefault="002A0300" w14:paraId="2BE562B2" w14:textId="77777777">
      <w:pPr>
        <w:tabs>
          <w:tab w:val="decimal" w:pos="216"/>
        </w:tabs>
        <w:spacing w:before="144"/>
        <w:rPr>
          <w:rFonts w:eastAsia="SimSun" w:asciiTheme="minorBidi" w:hAnsiTheme="minorBidi"/>
          <w:color w:val="000000"/>
          <w:lang w:val="en-US" w:eastAsia="zh-CN"/>
        </w:rPr>
      </w:pPr>
      <w:r w:rsidRPr="002A0300">
        <w:rPr>
          <w:rFonts w:eastAsia="SimSun" w:asciiTheme="minorBidi" w:hAnsiTheme="minorBidi"/>
          <w:color w:val="000000"/>
          <w:lang w:val="en-US" w:eastAsia="zh-CN"/>
        </w:rPr>
        <w:t>Not applicable. The Sub-Fund does not pursue a sustainable investment objective within the meaning of art. 2(17) of Regulation (EU) 2019/2088.</w:t>
      </w:r>
    </w:p>
    <w:p w:rsidRPr="007A125D" w:rsidR="002A0300" w:rsidP="007A125D" w:rsidRDefault="002A0300" w14:paraId="4B72200F" w14:textId="0BDBD4BE">
      <w:pPr>
        <w:ind w:left="1276"/>
        <w:rPr>
          <w:rFonts w:eastAsia="SimSun" w:asciiTheme="minorBidi" w:hAnsiTheme="minorBidi"/>
          <w:i/>
          <w:noProof/>
          <w:lang w:val="en-IE" w:eastAsia="zh-CN"/>
        </w:rPr>
      </w:pPr>
      <w:r w:rsidRPr="002A0300">
        <w:rPr>
          <w:rFonts w:eastAsia="Calibri" w:asciiTheme="minorBidi" w:hAnsiTheme="minorBidi"/>
          <w:noProof/>
          <w:sz w:val="18"/>
          <w:szCs w:val="18"/>
          <w:lang w:eastAsia="zh-CN"/>
        </w:rPr>
        <mc:AlternateContent>
          <mc:Choice Requires="wps">
            <w:drawing>
              <wp:anchor distT="0" distB="0" distL="114300" distR="114300" simplePos="0" relativeHeight="251658288" behindDoc="0" locked="0" layoutInCell="1" allowOverlap="1" wp14:editId="50AB9EED" wp14:anchorId="77B75E5A">
                <wp:simplePos x="0" y="0"/>
                <wp:positionH relativeFrom="margin">
                  <wp:posOffset>-130175</wp:posOffset>
                </wp:positionH>
                <wp:positionV relativeFrom="margin">
                  <wp:posOffset>412750</wp:posOffset>
                </wp:positionV>
                <wp:extent cx="4839335" cy="2566035"/>
                <wp:effectExtent l="0" t="0" r="0" b="5715"/>
                <wp:wrapSquare wrapText="bothSides"/>
                <wp:docPr id="59" name="Rectangle 59"/>
                <wp:cNvGraphicFramePr/>
                <a:graphic xmlns:a="http://schemas.openxmlformats.org/drawingml/2006/main">
                  <a:graphicData uri="http://schemas.microsoft.com/office/word/2010/wordprocessingShape">
                    <wps:wsp>
                      <wps:cNvSpPr/>
                      <wps:spPr>
                        <a:xfrm>
                          <a:off x="0" y="0"/>
                          <a:ext cx="4839335" cy="2566035"/>
                        </a:xfrm>
                        <a:prstGeom prst="rect">
                          <a:avLst/>
                        </a:prstGeom>
                        <a:solidFill>
                          <a:srgbClr val="EA933B">
                            <a:lumMod val="20000"/>
                            <a:lumOff val="80000"/>
                          </a:srgbClr>
                        </a:solidFill>
                        <a:ln w="12700" cap="flat" cmpd="sng" algn="ctr">
                          <a:noFill/>
                          <a:prstDash val="solid"/>
                          <a:miter lim="800000"/>
                        </a:ln>
                        <a:effectLst/>
                      </wps:spPr>
                      <wps:txbx>
                        <w:txbxContent>
                          <w:p w:rsidRPr="009734F5" w:rsidR="002A0300" w:rsidP="002A0300" w:rsidRDefault="002A0300" w14:paraId="30F9101C" w14:textId="77777777">
                            <w:pPr>
                              <w:ind w:right="-13"/>
                              <w:rPr>
                                <w:rFonts w:asciiTheme="minorHAnsi" w:hAnsiTheme="minorHAnsi" w:cstheme="minorHAnsi"/>
                                <w:i/>
                                <w:iCs/>
                              </w:rPr>
                            </w:pPr>
                            <w:r w:rsidRPr="009734F5">
                              <w:rPr>
                                <w:rFonts w:asciiTheme="minorHAnsi" w:hAnsiTheme="minorHAnsi" w:cstheme="minorHAnsi"/>
                                <w:i/>
                                <w:iCs/>
                              </w:rPr>
                              <w:t xml:space="preserve">The EU Taxonomy sets out a “do not significant harm” principle by which Taxonomy-aligned investments should not significantly harm </w:t>
                            </w:r>
                            <w:r>
                              <w:rPr>
                                <w:rFonts w:asciiTheme="minorHAnsi" w:hAnsiTheme="minorHAnsi" w:cstheme="minorHAnsi"/>
                                <w:i/>
                                <w:iCs/>
                              </w:rPr>
                              <w:t>EU Taxonomy</w:t>
                            </w:r>
                            <w:r w:rsidRPr="009734F5">
                              <w:rPr>
                                <w:rFonts w:asciiTheme="minorHAnsi" w:hAnsiTheme="minorHAnsi" w:cstheme="minorHAnsi"/>
                                <w:i/>
                                <w:iCs/>
                              </w:rPr>
                              <w:t xml:space="preserve"> objectives and is accompanied by specific EU criteria. </w:t>
                            </w:r>
                          </w:p>
                          <w:p w:rsidR="002A0300" w:rsidP="002A0300" w:rsidRDefault="002A0300" w14:paraId="5DEBCB86" w14:textId="77777777">
                            <w:pPr>
                              <w:ind w:right="-13"/>
                              <w:rPr>
                                <w:rFonts w:asciiTheme="minorHAnsi" w:hAnsiTheme="minorHAnsi" w:cstheme="minorHAnsi"/>
                              </w:rPr>
                            </w:pPr>
                          </w:p>
                          <w:p w:rsidR="002A0300" w:rsidP="002A0300" w:rsidRDefault="002A0300" w14:paraId="39EBCD37" w14:textId="77777777">
                            <w:pPr>
                              <w:ind w:right="-13"/>
                              <w:rPr>
                                <w:rFonts w:asciiTheme="minorHAnsi" w:hAnsiTheme="minorHAnsi" w:cstheme="minorHAnsi"/>
                              </w:rPr>
                            </w:pPr>
                            <w:r>
                              <w:rPr>
                                <w:rFonts w:asciiTheme="minorHAnsi" w:hAnsiTheme="minorHAnsi" w:cstheme="minorHAnsi"/>
                              </w:rPr>
                              <w:t>The</w:t>
                            </w:r>
                            <w:r w:rsidRPr="00C629D1">
                              <w:rPr>
                                <w:rFonts w:asciiTheme="minorHAnsi" w:hAnsiTheme="minorHAnsi" w:cstheme="minorHAnsi"/>
                              </w:rPr>
                              <w:t xml:space="preserve"> “do no significant harm” principle applies only to those investments underlying the financial pr</w:t>
                            </w:r>
                            <w:r>
                              <w:rPr>
                                <w:rFonts w:asciiTheme="minorHAnsi" w:hAnsiTheme="minorHAnsi" w:cstheme="minorHAnsi"/>
                              </w:rPr>
                              <w:t>oduct that take into account the</w:t>
                            </w:r>
                            <w:r w:rsidRPr="00C629D1">
                              <w:rPr>
                                <w:rFonts w:asciiTheme="minorHAnsi" w:hAnsiTheme="minorHAnsi" w:cstheme="minorHAnsi"/>
                              </w:rPr>
                              <w:t xml:space="preserve"> EU criteria for environmentally sustainable economic activities. The investments underlying the remaining portion of this financial product do not take into account the EU criteria for environmentally sustainable economic activities</w:t>
                            </w:r>
                            <w:r>
                              <w:rPr>
                                <w:rFonts w:asciiTheme="minorHAnsi" w:hAnsiTheme="minorHAnsi" w:cstheme="minorHAnsi"/>
                              </w:rPr>
                              <w:t>.</w:t>
                            </w:r>
                          </w:p>
                          <w:p w:rsidRPr="009734F5" w:rsidR="002A0300" w:rsidP="002A0300" w:rsidRDefault="002A0300" w14:paraId="262C8249" w14:textId="77777777">
                            <w:pPr>
                              <w:ind w:right="-13"/>
                              <w:rPr>
                                <w:rFonts w:asciiTheme="minorHAnsi" w:hAnsiTheme="minorHAnsi" w:cstheme="minorHAnsi"/>
                                <w:i/>
                                <w:iCs/>
                              </w:rPr>
                            </w:pPr>
                          </w:p>
                          <w:p w:rsidRPr="00F97EE5" w:rsidR="002A0300" w:rsidP="002A0300" w:rsidRDefault="002A0300" w14:paraId="148EF30E" w14:textId="77777777">
                            <w:pPr>
                              <w:ind w:right="-13"/>
                              <w:rPr>
                                <w:rFonts w:asciiTheme="minorHAnsi" w:hAnsiTheme="minorHAnsi" w:cstheme="minorHAnsi"/>
                                <w:i/>
                                <w:iCs/>
                                <w:color w:val="C00000"/>
                                <w:sz w:val="18"/>
                                <w:szCs w:val="18"/>
                              </w:rPr>
                            </w:pPr>
                            <w:r w:rsidRPr="00F97EE5">
                              <w:rPr>
                                <w:rFonts w:asciiTheme="minorHAnsi" w:hAnsiTheme="minorHAnsi" w:cstheme="minorHAnsi"/>
                                <w:i/>
                                <w:iCs/>
                                <w:color w:val="C00000"/>
                                <w:sz w:val="18"/>
                                <w:szCs w:val="18"/>
                              </w:rPr>
                              <w:t xml:space="preserve"> </w:t>
                            </w:r>
                            <w:r w:rsidRPr="009734F5">
                              <w:rPr>
                                <w:rFonts w:asciiTheme="minorHAnsi" w:hAnsiTheme="minorHAnsi" w:cstheme="minorHAnsi"/>
                                <w:i/>
                                <w:iCs/>
                              </w:rPr>
                              <w:t xml:space="preserve">Any other sustainable investments must also not significantly harm any environmental or social objectives. </w:t>
                            </w:r>
                          </w:p>
                          <w:p w:rsidR="002A0300" w:rsidP="002A0300" w:rsidRDefault="002A0300" w14:paraId="4B0F0CF8" w14:textId="77777777">
                            <w:pPr>
                              <w:jc w:val="center"/>
                            </w:pPr>
                          </w:p>
                          <w:p w:rsidR="002A0300" w:rsidP="002A0300" w:rsidRDefault="002A0300" w14:paraId="1B71585E" w14:textId="77777777">
                            <w:pPr>
                              <w:jc w:val="center"/>
                            </w:pPr>
                          </w:p>
                          <w:p w:rsidR="002A0300" w:rsidP="002A0300" w:rsidRDefault="002A0300" w14:paraId="6657D28E" w14:textId="77777777">
                            <w:pPr>
                              <w:jc w:val="center"/>
                            </w:pPr>
                          </w:p>
                          <w:p w:rsidR="002A0300" w:rsidP="002A0300" w:rsidRDefault="002A0300" w14:paraId="52358B92" w14:textId="77777777">
                            <w:pPr>
                              <w:jc w:val="center"/>
                            </w:pPr>
                          </w:p>
                          <w:p w:rsidRPr="000D37D3" w:rsidR="002A0300" w:rsidP="002A0300" w:rsidRDefault="002A0300" w14:paraId="6B382EC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style="position:absolute;left:0;text-align:left;margin-left:-10.25pt;margin-top:32.5pt;width:381.05pt;height:202.0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30" fillcolor="#fbe9d8"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" w14:anchorId="77B75E5A">
                <v:textbox>
                  <w:txbxContent>
                    <w:p w:rsidRPr="009734F5" w:rsidR="002A0300" w:rsidP="002A0300" w:rsidRDefault="002A0300" w14:paraId="30F9101C" w14:textId="77777777">
                      <w:pPr>
                        <w:ind w:right="-13"/>
                        <w:rPr>
                          <w:rFonts w:asciiTheme="minorHAnsi" w:hAnsiTheme="minorHAnsi" w:cstheme="minorHAnsi"/>
                          <w:i/>
                          <w:iCs/>
                        </w:rPr>
                      </w:pPr>
                      <w:r w:rsidRPr="009734F5">
                        <w:rPr>
                          <w:rFonts w:asciiTheme="minorHAnsi" w:hAnsiTheme="minorHAnsi" w:cstheme="minorHAnsi"/>
                          <w:i/>
                          <w:iCs/>
                        </w:rPr>
                        <w:t xml:space="preserve">The EU Taxonomy sets out a “do not significant harm” principle by which Taxonomy-aligned investments should not significantly harm </w:t>
                      </w:r>
                      <w:r>
                        <w:rPr>
                          <w:rFonts w:asciiTheme="minorHAnsi" w:hAnsiTheme="minorHAnsi" w:cstheme="minorHAnsi"/>
                          <w:i/>
                          <w:iCs/>
                        </w:rPr>
                        <w:t>EU Taxonomy</w:t>
                      </w:r>
                      <w:r w:rsidRPr="009734F5">
                        <w:rPr>
                          <w:rFonts w:asciiTheme="minorHAnsi" w:hAnsiTheme="minorHAnsi" w:cstheme="minorHAnsi"/>
                          <w:i/>
                          <w:iCs/>
                        </w:rPr>
                        <w:t xml:space="preserve"> objectives and is accompanied by specific EU criteria. </w:t>
                      </w:r>
                    </w:p>
                    <w:p w:rsidR="002A0300" w:rsidP="002A0300" w:rsidRDefault="002A0300" w14:paraId="5DEBCB86" w14:textId="77777777">
                      <w:pPr>
                        <w:ind w:right="-13"/>
                        <w:rPr>
                          <w:rFonts w:asciiTheme="minorHAnsi" w:hAnsiTheme="minorHAnsi" w:cstheme="minorHAnsi"/>
                        </w:rPr>
                      </w:pPr>
                    </w:p>
                    <w:p w:rsidR="002A0300" w:rsidP="002A0300" w:rsidRDefault="002A0300" w14:paraId="39EBCD37" w14:textId="77777777">
                      <w:pPr>
                        <w:ind w:right="-13"/>
                        <w:rPr>
                          <w:rFonts w:asciiTheme="minorHAnsi" w:hAnsiTheme="minorHAnsi" w:cstheme="minorHAnsi"/>
                        </w:rPr>
                      </w:pPr>
                      <w:r>
                        <w:rPr>
                          <w:rFonts w:asciiTheme="minorHAnsi" w:hAnsiTheme="minorHAnsi" w:cstheme="minorHAnsi"/>
                        </w:rPr>
                        <w:t>The</w:t>
                      </w:r>
                      <w:r w:rsidRPr="00C629D1">
                        <w:rPr>
                          <w:rFonts w:asciiTheme="minorHAnsi" w:hAnsiTheme="minorHAnsi" w:cstheme="minorHAnsi"/>
                        </w:rPr>
                        <w:t xml:space="preserve"> “do no significant harm” principle applies only to those investments underlying the financial pr</w:t>
                      </w:r>
                      <w:r>
                        <w:rPr>
                          <w:rFonts w:asciiTheme="minorHAnsi" w:hAnsiTheme="minorHAnsi" w:cstheme="minorHAnsi"/>
                        </w:rPr>
                        <w:t>oduct that take into account the</w:t>
                      </w:r>
                      <w:r w:rsidRPr="00C629D1">
                        <w:rPr>
                          <w:rFonts w:asciiTheme="minorHAnsi" w:hAnsiTheme="minorHAnsi" w:cstheme="minorHAnsi"/>
                        </w:rPr>
                        <w:t xml:space="preserve"> EU criteria for environmentally sustainable economic activities. The investments underlying the remaining portion of this financial product do not take into account the EU criteria for environmentally sustainable economic activities</w:t>
                      </w:r>
                      <w:r>
                        <w:rPr>
                          <w:rFonts w:asciiTheme="minorHAnsi" w:hAnsiTheme="minorHAnsi" w:cstheme="minorHAnsi"/>
                        </w:rPr>
                        <w:t>.</w:t>
                      </w:r>
                    </w:p>
                    <w:p w:rsidRPr="009734F5" w:rsidR="002A0300" w:rsidP="002A0300" w:rsidRDefault="002A0300" w14:paraId="262C8249" w14:textId="77777777">
                      <w:pPr>
                        <w:ind w:right="-13"/>
                        <w:rPr>
                          <w:rFonts w:asciiTheme="minorHAnsi" w:hAnsiTheme="minorHAnsi" w:cstheme="minorHAnsi"/>
                          <w:i/>
                          <w:iCs/>
                        </w:rPr>
                      </w:pPr>
                    </w:p>
                    <w:p w:rsidRPr="00F97EE5" w:rsidR="002A0300" w:rsidP="002A0300" w:rsidRDefault="002A0300" w14:paraId="148EF30E" w14:textId="77777777">
                      <w:pPr>
                        <w:ind w:right="-13"/>
                        <w:rPr>
                          <w:rFonts w:asciiTheme="minorHAnsi" w:hAnsiTheme="minorHAnsi" w:cstheme="minorHAnsi"/>
                          <w:i/>
                          <w:iCs/>
                          <w:color w:val="C00000"/>
                          <w:sz w:val="18"/>
                          <w:szCs w:val="18"/>
                        </w:rPr>
                      </w:pPr>
                      <w:r w:rsidRPr="00F97EE5">
                        <w:rPr>
                          <w:rFonts w:asciiTheme="minorHAnsi" w:hAnsiTheme="minorHAnsi" w:cstheme="minorHAnsi"/>
                          <w:i/>
                          <w:iCs/>
                          <w:color w:val="C00000"/>
                          <w:sz w:val="18"/>
                          <w:szCs w:val="18"/>
                        </w:rPr>
                        <w:t xml:space="preserve"> </w:t>
                      </w:r>
                      <w:r w:rsidRPr="009734F5">
                        <w:rPr>
                          <w:rFonts w:asciiTheme="minorHAnsi" w:hAnsiTheme="minorHAnsi" w:cstheme="minorHAnsi"/>
                          <w:i/>
                          <w:iCs/>
                        </w:rPr>
                        <w:t xml:space="preserve">Any other sustainable investments must also not significantly harm any environmental or social objectives. </w:t>
                      </w:r>
                    </w:p>
                    <w:p w:rsidR="002A0300" w:rsidP="002A0300" w:rsidRDefault="002A0300" w14:paraId="4B0F0CF8" w14:textId="77777777">
                      <w:pPr>
                        <w:jc w:val="center"/>
                      </w:pPr>
                    </w:p>
                    <w:p w:rsidR="002A0300" w:rsidP="002A0300" w:rsidRDefault="002A0300" w14:paraId="1B71585E" w14:textId="77777777">
                      <w:pPr>
                        <w:jc w:val="center"/>
                      </w:pPr>
                    </w:p>
                    <w:p w:rsidR="002A0300" w:rsidP="002A0300" w:rsidRDefault="002A0300" w14:paraId="6657D28E" w14:textId="77777777">
                      <w:pPr>
                        <w:jc w:val="center"/>
                      </w:pPr>
                    </w:p>
                    <w:p w:rsidR="002A0300" w:rsidP="002A0300" w:rsidRDefault="002A0300" w14:paraId="52358B92" w14:textId="77777777">
                      <w:pPr>
                        <w:jc w:val="center"/>
                      </w:pPr>
                    </w:p>
                    <w:p w:rsidRPr="000D37D3" w:rsidR="002A0300" w:rsidP="002A0300" w:rsidRDefault="002A0300" w14:paraId="6B382EC9" w14:textId="77777777">
                      <w:pPr>
                        <w:jc w:val="center"/>
                      </w:pPr>
                    </w:p>
                  </w:txbxContent>
                </v:textbox>
                <w10:wrap type="square" anchorx="margin" anchory="margin"/>
              </v:rect>
            </w:pict>
          </mc:Fallback>
        </mc:AlternateContent>
      </w:r>
      <w:r w:rsidRPr="002A0300">
        <w:rPr>
          <w:rFonts w:eastAsia="SimSun" w:asciiTheme="minorBidi" w:hAnsiTheme="minorBidi"/>
          <w:noProof/>
          <w:szCs w:val="24"/>
          <w:lang w:eastAsia="zh-CN"/>
        </w:rPr>
        <w:drawing>
          <wp:anchor distT="0" distB="0" distL="114300" distR="114300" simplePos="0" relativeHeight="251658248" behindDoc="0" locked="0" layoutInCell="1" allowOverlap="1" wp14:editId="58FEAE81" wp14:anchorId="62FCCA3B">
            <wp:simplePos x="0" y="0"/>
            <wp:positionH relativeFrom="page">
              <wp:posOffset>0</wp:posOffset>
            </wp:positionH>
            <wp:positionV relativeFrom="paragraph">
              <wp:posOffset>377190</wp:posOffset>
            </wp:positionV>
            <wp:extent cx="1704975" cy="600075"/>
            <wp:effectExtent l="0" t="0" r="9525" b="9525"/>
            <wp:wrapSquare wrapText="bothSides"/>
            <wp:docPr id="240"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1704975" cy="600075"/>
                    </a:xfrm>
                    <a:prstGeom prst="rect">
                      <a:avLst/>
                    </a:prstGeom>
                  </pic:spPr>
                </pic:pic>
              </a:graphicData>
            </a:graphic>
          </wp:anchor>
        </w:drawing>
      </w:r>
    </w:p>
    <w:p w:rsidRPr="002A0300" w:rsidR="002A0300" w:rsidP="002A0300" w:rsidRDefault="002A0300" w14:paraId="09B37282" w14:textId="6E44B7B1">
      <w:pPr>
        <w:spacing w:after="160" w:line="259" w:lineRule="auto"/>
        <w:rPr>
          <w:rFonts w:eastAsia="Calibri" w:asciiTheme="minorBidi" w:hAnsiTheme="minorBidi"/>
          <w:b/>
          <w:bCs/>
          <w:noProof/>
          <w:sz w:val="24"/>
          <w:szCs w:val="24"/>
        </w:rPr>
      </w:pPr>
    </w:p>
    <w:p w:rsidRPr="002A0300" w:rsidR="002A0300" w:rsidP="002A0300" w:rsidRDefault="002A0300" w14:paraId="443CA7B0" w14:textId="77777777">
      <w:pPr>
        <w:spacing w:after="160" w:line="259" w:lineRule="auto"/>
        <w:rPr>
          <w:rFonts w:eastAsia="Calibri" w:asciiTheme="minorBidi" w:hAnsiTheme="minorBidi"/>
          <w:b/>
          <w:bCs/>
          <w:noProof/>
          <w:sz w:val="24"/>
          <w:szCs w:val="24"/>
        </w:rPr>
      </w:pPr>
      <w:r w:rsidRPr="002A0300">
        <w:rPr>
          <w:rFonts w:eastAsia="Calibri" w:asciiTheme="minorBidi" w:hAnsiTheme="minorBidi"/>
          <w:b/>
          <w:bCs/>
          <w:noProof/>
          <w:sz w:val="24"/>
          <w:szCs w:val="24"/>
        </w:rPr>
        <w:t>Does this financial product consider principal adverse impacts on sustainability factors?</w:t>
      </w:r>
    </w:p>
    <w:p w:rsidRPr="002A0300" w:rsidR="002A0300" w:rsidP="002A0300" w:rsidRDefault="002A0300" w14:paraId="65F9E932"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drawing>
          <wp:anchor distT="0" distB="0" distL="114300" distR="114300" simplePos="0" relativeHeight="251658301" behindDoc="0" locked="0" layoutInCell="1" allowOverlap="1" wp14:editId="120AE053" wp14:anchorId="3A1D5321">
            <wp:simplePos x="0" y="0"/>
            <wp:positionH relativeFrom="column">
              <wp:posOffset>280670</wp:posOffset>
            </wp:positionH>
            <wp:positionV relativeFrom="paragraph">
              <wp:posOffset>13335</wp:posOffset>
            </wp:positionV>
            <wp:extent cx="124460" cy="124460"/>
            <wp:effectExtent l="0" t="0" r="889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2A0300">
        <w:rPr>
          <w:rFonts w:eastAsia="Calibri" w:asciiTheme="minorBidi" w:hAnsiTheme="minorBidi"/>
          <w:noProof/>
          <w:color w:val="000000"/>
        </w:rPr>
        <mc:AlternateContent>
          <mc:Choice Requires="wps">
            <w:drawing>
              <wp:anchor distT="0" distB="0" distL="114300" distR="114300" simplePos="0" relativeHeight="251658242" behindDoc="0" locked="0" layoutInCell="1" allowOverlap="1" wp14:editId="7FEF8E54" wp14:anchorId="464C80A2">
                <wp:simplePos x="0" y="0"/>
                <wp:positionH relativeFrom="column">
                  <wp:posOffset>276860</wp:posOffset>
                </wp:positionH>
                <wp:positionV relativeFrom="paragraph">
                  <wp:posOffset>12065</wp:posOffset>
                </wp:positionV>
                <wp:extent cx="179705" cy="193675"/>
                <wp:effectExtent l="0" t="0" r="0" b="0"/>
                <wp:wrapSquare wrapText="bothSides"/>
                <wp:docPr id="366" name="Rectangle 36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6" style="position:absolute;margin-left:21.8pt;margin-top:.95pt;width:14.15pt;height:1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" w14:anchorId="76893D5B">
                <w10:wrap type="square"/>
              </v:rect>
            </w:pict>
          </mc:Fallback>
        </mc:AlternateContent>
      </w:r>
      <w:r w:rsidRPr="002A0300">
        <w:rPr>
          <w:rFonts w:eastAsia="Calibri" w:asciiTheme="minorBidi" w:hAnsiTheme="minorBidi"/>
          <w:noProof/>
          <w:color w:val="000000"/>
        </w:rPr>
        <w:t>Yes, the identification of the main negative effects of investment choices on sustainability factors and the definition of the related mitigation actions are an integral part of Investment Manager's approach to sustainability. The Investment Manager has adopted a specific framework which provides for specific environmental, social and governance indicators for the assessment of the negative effects on the sustainability deriving from investments according to the characteristics and objectives of the individual financial products, which provide for the use of:</w:t>
      </w:r>
    </w:p>
    <w:p w:rsidRPr="002A0300" w:rsidR="002A0300" w:rsidP="002A0300" w:rsidRDefault="002A0300" w14:paraId="3F741056" w14:textId="2F87E7FE">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 negative screening of SRI and ESG factors, with the aim of mitigating the risks of exposure to companies operating in sectors considered as not "socially responsible" (including, in particular, the exposure to the fossil fuels sector and to the unconventional weapons sector) or characterized by critical environmental, social or corporate governance</w:t>
      </w:r>
      <w:r w:rsidR="00F8579F">
        <w:rPr>
          <w:rFonts w:eastAsia="Calibri" w:asciiTheme="minorBidi" w:hAnsiTheme="minorBidi"/>
          <w:noProof/>
          <w:color w:val="000000"/>
        </w:rPr>
        <w:t>, i.e., with a lower ESG sustainability rating level (equal to “CCC” assigned by the specialised info-provider</w:t>
      </w:r>
      <w:r w:rsidR="007A125D">
        <w:rPr>
          <w:rFonts w:eastAsia="Calibri" w:asciiTheme="minorBidi" w:hAnsiTheme="minorBidi"/>
          <w:noProof/>
          <w:color w:val="000000"/>
        </w:rPr>
        <w:t>)</w:t>
      </w:r>
      <w:r w:rsidRPr="002A0300">
        <w:rPr>
          <w:rFonts w:eastAsia="Calibri" w:asciiTheme="minorBidi" w:hAnsiTheme="minorBidi"/>
          <w:noProof/>
          <w:color w:val="000000"/>
        </w:rPr>
        <w:t>;</w:t>
      </w:r>
    </w:p>
    <w:p w:rsidRPr="002A0300" w:rsidR="002A0300" w:rsidP="002A0300" w:rsidRDefault="002A0300" w14:paraId="62A37FAB" w14:textId="447D115B">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 xml:space="preserve">- positive integration of ESG factors in the analysis, selection and composition of financial portfolios </w:t>
      </w:r>
      <w:r w:rsidR="009A1C84">
        <w:rPr>
          <w:rFonts w:eastAsia="Calibri" w:asciiTheme="minorBidi" w:hAnsiTheme="minorBidi"/>
          <w:noProof/>
          <w:color w:val="000000"/>
        </w:rPr>
        <w:t xml:space="preserve">(by way of considering the </w:t>
      </w:r>
      <w:r w:rsidRPr="002A0300">
        <w:rPr>
          <w:rFonts w:eastAsia="Calibri" w:asciiTheme="minorBidi" w:hAnsiTheme="minorBidi"/>
          <w:noProof/>
          <w:color w:val="000000"/>
        </w:rPr>
        <w:t>ESG Score</w:t>
      </w:r>
      <w:r w:rsidR="009A1C84">
        <w:rPr>
          <w:rFonts w:eastAsia="Calibri" w:asciiTheme="minorBidi" w:hAnsiTheme="minorBidi"/>
          <w:noProof/>
          <w:color w:val="000000"/>
        </w:rPr>
        <w:t xml:space="preserve"> of the holdings</w:t>
      </w:r>
      <w:r w:rsidRPr="002A0300">
        <w:rPr>
          <w:rFonts w:eastAsia="Calibri" w:asciiTheme="minorBidi" w:hAnsiTheme="minorBidi"/>
          <w:noProof/>
          <w:color w:val="000000"/>
        </w:rPr>
        <w:t>).</w:t>
      </w:r>
    </w:p>
    <w:p w:rsidRPr="002A0300" w:rsidR="002A0300" w:rsidP="002A0300" w:rsidRDefault="002A0300" w14:paraId="3565A773"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On the basis of controls it defined, the Investment Manager considers specific environmental and social indicators for the assessment of the principal adverse impacts determined by the investment activities of the Sub-Fund, as set out below.</w:t>
      </w:r>
    </w:p>
    <w:p w:rsidRPr="002A0300" w:rsidR="002A0300" w:rsidP="002A0300" w:rsidRDefault="002A0300" w14:paraId="17D5C8F0"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lastRenderedPageBreak/>
        <w:t>The indicators applicable to investments in corporate securities are the following:</w:t>
      </w:r>
    </w:p>
    <w:p w:rsidRPr="002A0300" w:rsidR="002A0300" w:rsidP="002A0300" w:rsidRDefault="002A0300" w14:paraId="7F8A50B6"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w:t>
      </w:r>
      <w:r w:rsidRPr="002A0300">
        <w:rPr>
          <w:rFonts w:eastAsia="Calibri" w:asciiTheme="minorBidi" w:hAnsiTheme="minorBidi"/>
          <w:noProof/>
          <w:color w:val="000000"/>
        </w:rPr>
        <w:tab/>
        <w:t>Greenhouse Gas (GHG) Emissions intensity of investee companies: intensity of the direct GHG emissions that occur from sources that are controlled or owned (i.e.: Scope 1) and of the indirect GHG emissions from the generation of purchased electricity consumed (i.e.: Scope 2) of each investee company per million euro of sales generated;</w:t>
      </w:r>
    </w:p>
    <w:p w:rsidRPr="002A0300" w:rsidR="002A0300" w:rsidP="002A0300" w:rsidRDefault="002A0300" w14:paraId="784758CA"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w:t>
      </w:r>
      <w:r w:rsidRPr="002A0300">
        <w:rPr>
          <w:rFonts w:eastAsia="Calibri" w:asciiTheme="minorBidi" w:hAnsiTheme="minorBidi"/>
          <w:noProof/>
          <w:color w:val="000000"/>
        </w:rPr>
        <w:tab/>
        <w:t>Exposure to fossil fuel companies: investments in companies that generate revenues from mineral exploration and mining, or from any other extractive activities, from the production, processing, refinement, distribution (including the transportation), the storage and trading of fossil fuels;</w:t>
      </w:r>
    </w:p>
    <w:p w:rsidRPr="002A0300" w:rsidR="002A0300" w:rsidP="002A0300" w:rsidRDefault="002A0300" w14:paraId="64263531"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w:t>
      </w:r>
      <w:r w:rsidRPr="002A0300">
        <w:rPr>
          <w:rFonts w:eastAsia="Calibri" w:asciiTheme="minorBidi" w:hAnsiTheme="minorBidi"/>
          <w:noProof/>
          <w:color w:val="000000"/>
        </w:rPr>
        <w:tab/>
        <w:t>Activities that adversely affect biodiversity sensitive areas: investments in companies established or doing business in or near sensitive areas for biodiversity, whose activities adversely affect those areas;</w:t>
      </w:r>
    </w:p>
    <w:p w:rsidRPr="002A0300" w:rsidR="002A0300" w:rsidP="002A0300" w:rsidRDefault="002A0300" w14:paraId="28D383BA"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w:t>
      </w:r>
      <w:r w:rsidRPr="002A0300">
        <w:rPr>
          <w:rFonts w:eastAsia="Calibri" w:asciiTheme="minorBidi" w:hAnsiTheme="minorBidi"/>
          <w:noProof/>
          <w:color w:val="000000"/>
        </w:rPr>
        <w:tab/>
        <w:t>Gender diversity on the board of directors: average ratio between women and men within the administration, management or supervisory body of the investee companies;</w:t>
      </w:r>
    </w:p>
    <w:p w:rsidRPr="002A0300" w:rsidR="002A0300" w:rsidP="002A0300" w:rsidRDefault="002A0300" w14:paraId="557131C3"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w:t>
      </w:r>
      <w:r w:rsidRPr="002A0300">
        <w:rPr>
          <w:rFonts w:eastAsia="Calibri" w:asciiTheme="minorBidi" w:hAnsiTheme="minorBidi"/>
          <w:noProof/>
          <w:color w:val="000000"/>
        </w:rPr>
        <w:tab/>
        <w:t>Exposure to controversial weapons: investments in companies involved in the manufacture or in the sale of unconventional weapons (including, in particular, Land-mines, Cluster bombs, Biological weapons and Chemical weapons).</w:t>
      </w:r>
    </w:p>
    <w:p w:rsidRPr="002A0300" w:rsidR="002A0300" w:rsidP="002A0300" w:rsidRDefault="002A0300" w14:paraId="728EF2B5"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The indicators applicable to investments in sovereign and supranational securities are the following:</w:t>
      </w:r>
    </w:p>
    <w:p w:rsidRPr="002A0300" w:rsidR="002A0300" w:rsidP="002A0300" w:rsidRDefault="002A0300" w14:paraId="71020708"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w:t>
      </w:r>
      <w:r w:rsidRPr="002A0300">
        <w:rPr>
          <w:rFonts w:eastAsia="Calibri" w:asciiTheme="minorBidi" w:hAnsiTheme="minorBidi"/>
          <w:noProof/>
          <w:color w:val="000000"/>
        </w:rPr>
        <w:tab/>
        <w:t>Greenhouse Gas (GHG) Emissions intensity: intensity of the direct GHG emissions (i.e.: Scope 1) that occur from the economic activities and of the indirect GHG emissions from electricity generated elsewhere (i.e.: Scope 2) of each country per million euro of gross domestic product (GDP).</w:t>
      </w:r>
    </w:p>
    <w:p w:rsidRPr="002A0300" w:rsidR="002A0300" w:rsidP="002A0300" w:rsidRDefault="002A0300" w14:paraId="75D4B2B7"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In the best interest of its own financial products, Investment Manager commits (i) to continue to develop its own Sustainability Policies and (ii) to activate specific engagement actions with regard to the issuers that show significant deviations from specific environmental, social and governance indicators or that show significant negative effects on several indicators, with the aim of directing them towards improving their sustainability practices, evaluating, only as a last resort, the disposal of their investments.</w:t>
      </w:r>
    </w:p>
    <w:p w:rsidRPr="002A0300" w:rsidR="002A0300" w:rsidP="002A0300" w:rsidRDefault="002A0300" w14:paraId="7BD91D93" w14:textId="5F98265B">
      <w:pPr>
        <w:spacing w:after="160" w:line="259" w:lineRule="auto"/>
        <w:ind w:left="993"/>
        <w:rPr>
          <w:rFonts w:eastAsia="Calibri" w:asciiTheme="minorBidi" w:hAnsiTheme="minorBidi"/>
          <w:noProof/>
          <w:color w:val="000000"/>
        </w:rPr>
      </w:pPr>
    </w:p>
    <w:p w:rsidRPr="002A0300" w:rsidR="002A0300" w:rsidP="00343FE6" w:rsidRDefault="002A0300" w14:paraId="51E87D29" w14:textId="7650EA9E">
      <w:pPr>
        <w:spacing w:after="160" w:line="259" w:lineRule="auto"/>
        <w:ind w:left="993"/>
        <w:rPr>
          <w:rFonts w:eastAsia="Calibri" w:asciiTheme="minorBidi" w:hAnsiTheme="minorBidi"/>
          <w:noProof/>
          <w:color w:val="000000"/>
          <w:lang w:eastAsia="zh-CN"/>
        </w:rPr>
      </w:pPr>
      <w:r w:rsidRPr="002A0300">
        <w:rPr>
          <w:rFonts w:eastAsia="Calibri" w:asciiTheme="minorBidi" w:hAnsiTheme="minorBidi"/>
          <w:noProof/>
          <w:color w:val="000000"/>
          <w:lang w:eastAsia="zh-CN"/>
        </w:rPr>
        <w:t xml:space="preserve">Information regarding the above principal adverse impacts indicators will be reported on a best effort basis in the specific section of the annual report of the </w:t>
      </w:r>
      <w:r w:rsidRPr="002A0300">
        <w:rPr>
          <w:rFonts w:eastAsia="Calibri" w:asciiTheme="minorBidi" w:hAnsiTheme="minorBidi"/>
          <w:noProof/>
          <w:color w:val="000000"/>
        </w:rPr>
        <w:t>Sub-Fund</w:t>
      </w:r>
      <w:r w:rsidRPr="002A0300">
        <w:rPr>
          <w:rFonts w:eastAsia="Calibri" w:asciiTheme="minorBidi" w:hAnsiTheme="minorBidi"/>
          <w:noProof/>
          <w:color w:val="000000"/>
          <w:lang w:eastAsia="zh-CN"/>
        </w:rPr>
        <w:t>.</w:t>
      </w:r>
    </w:p>
    <w:p w:rsidRPr="002A0300" w:rsidR="002A0300" w:rsidP="002A0300" w:rsidRDefault="002A0300" w14:paraId="5F16816F" w14:textId="77777777">
      <w:pPr>
        <w:spacing w:after="160" w:line="259" w:lineRule="auto"/>
        <w:ind w:left="993"/>
        <w:rPr>
          <w:rFonts w:eastAsia="Calibri" w:asciiTheme="minorBidi" w:hAnsiTheme="minorBidi"/>
          <w:bCs/>
          <w:i/>
          <w:noProof/>
          <w:color w:val="C00000"/>
          <w:sz w:val="18"/>
          <w:szCs w:val="16"/>
        </w:rPr>
      </w:pPr>
      <w:r w:rsidRPr="002A0300">
        <w:rPr>
          <w:rFonts w:eastAsia="Calibri" w:asciiTheme="minorBidi" w:hAnsiTheme="minorBidi"/>
          <w:noProof/>
        </w:rPr>
        <w:t xml:space="preserve"> </w:t>
      </w:r>
    </w:p>
    <w:p w:rsidRPr="002A0300" w:rsidR="002A0300" w:rsidP="002A0300" w:rsidRDefault="00004B05" w14:paraId="7D705C9B" w14:textId="302A9C51">
      <w:pPr>
        <w:spacing w:after="160" w:line="259" w:lineRule="auto"/>
        <w:ind w:left="993"/>
        <w:rPr>
          <w:rFonts w:eastAsia="Calibri" w:asciiTheme="minorBidi" w:hAnsiTheme="minorBidi"/>
          <w:noProof/>
        </w:rPr>
      </w:pPr>
      <w:r w:rsidRPr="002A0300">
        <w:rPr>
          <w:rFonts w:eastAsia="SimSun" w:asciiTheme="minorBidi" w:hAnsiTheme="minorBidi"/>
          <w:noProof/>
          <w:szCs w:val="24"/>
          <w:lang w:eastAsia="zh-CN"/>
        </w:rPr>
        <w:drawing>
          <wp:anchor distT="0" distB="0" distL="114300" distR="114300" simplePos="0" relativeHeight="251658287" behindDoc="0" locked="0" layoutInCell="1" allowOverlap="1" wp14:editId="56E6D82F" wp14:anchorId="243437A9">
            <wp:simplePos x="0" y="0"/>
            <wp:positionH relativeFrom="page">
              <wp:posOffset>9525</wp:posOffset>
            </wp:positionH>
            <wp:positionV relativeFrom="margin">
              <wp:posOffset>8292465</wp:posOffset>
            </wp:positionV>
            <wp:extent cx="1714500" cy="600075"/>
            <wp:effectExtent l="0" t="0" r="0" b="9525"/>
            <wp:wrapSquare wrapText="bothSides"/>
            <wp:docPr id="234" name="Graphic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1714500" cy="600075"/>
                    </a:xfrm>
                    <a:prstGeom prst="rect">
                      <a:avLst/>
                    </a:prstGeom>
                  </pic:spPr>
                </pic:pic>
              </a:graphicData>
            </a:graphic>
          </wp:anchor>
        </w:drawing>
      </w:r>
      <w:r w:rsidRPr="002A0300" w:rsidR="002A0300">
        <w:rPr>
          <w:rFonts w:eastAsia="Calibri" w:asciiTheme="minorBidi" w:hAnsiTheme="minorBidi"/>
          <w:noProof/>
          <w:color w:val="000000"/>
          <w:lang w:eastAsia="zh-CN"/>
        </w:rPr>
        <mc:AlternateContent>
          <mc:Choice Requires="wps">
            <w:drawing>
              <wp:anchor distT="0" distB="0" distL="114300" distR="114300" simplePos="0" relativeHeight="251658243" behindDoc="0" locked="0" layoutInCell="1" allowOverlap="1" wp14:editId="4110A939" wp14:anchorId="2142C541">
                <wp:simplePos x="0" y="0"/>
                <wp:positionH relativeFrom="column">
                  <wp:posOffset>342900</wp:posOffset>
                </wp:positionH>
                <wp:positionV relativeFrom="paragraph">
                  <wp:posOffset>13335</wp:posOffset>
                </wp:positionV>
                <wp:extent cx="179705" cy="193675"/>
                <wp:effectExtent l="0" t="0" r="0" b="0"/>
                <wp:wrapSquare wrapText="bothSides"/>
                <wp:docPr id="367" name="Rectangle 36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7" style="position:absolute;margin-left:27pt;margin-top:1.05pt;width:14.15pt;height:1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" w14:anchorId="4CE23984">
                <w10:wrap type="square"/>
              </v:rect>
            </w:pict>
          </mc:Fallback>
        </mc:AlternateContent>
      </w:r>
      <w:r w:rsidRPr="002A0300" w:rsidR="002A0300">
        <w:rPr>
          <w:rFonts w:eastAsia="Calibri" w:asciiTheme="minorBidi" w:hAnsiTheme="minorBidi"/>
          <w:noProof/>
          <w:color w:val="000000"/>
        </w:rPr>
        <w:t>No</w:t>
      </w:r>
      <w:r w:rsidRPr="002A0300" w:rsidR="002A0300">
        <w:rPr>
          <w:rFonts w:eastAsia="Calibri" w:asciiTheme="minorBidi" w:hAnsiTheme="minorBidi"/>
          <w:noProof/>
        </w:rPr>
        <w:t xml:space="preserve"> </w:t>
      </w:r>
    </w:p>
    <w:p w:rsidRPr="002A0300" w:rsidR="002A0300" w:rsidP="002A0300" w:rsidRDefault="002A0300" w14:paraId="5A9DABFB" w14:textId="5F1127A4">
      <w:pPr>
        <w:spacing w:after="160" w:line="259" w:lineRule="auto"/>
        <w:rPr>
          <w:rFonts w:eastAsia="Calibri" w:asciiTheme="minorBidi" w:hAnsiTheme="minorBidi"/>
          <w:b/>
          <w:bCs/>
          <w:noProof/>
          <w:sz w:val="24"/>
          <w:szCs w:val="24"/>
        </w:rPr>
      </w:pPr>
    </w:p>
    <w:p w:rsidRPr="002A0300" w:rsidR="002A0300" w:rsidP="002A0300" w:rsidRDefault="002A0300" w14:paraId="6DDB97D2" w14:textId="77777777">
      <w:pPr>
        <w:spacing w:after="160" w:line="259" w:lineRule="auto"/>
        <w:rPr>
          <w:rFonts w:eastAsia="Calibri" w:asciiTheme="minorBidi" w:hAnsiTheme="minorBidi"/>
          <w:bCs/>
          <w:i/>
          <w:iCs/>
          <w:noProof/>
          <w:color w:val="C00000"/>
          <w:sz w:val="18"/>
          <w:szCs w:val="18"/>
          <w:lang w:eastAsia="zh-CN"/>
        </w:rPr>
      </w:pPr>
      <w:r w:rsidRPr="002A0300">
        <w:rPr>
          <w:rFonts w:eastAsia="Calibri" w:asciiTheme="minorBidi" w:hAnsiTheme="minorBidi"/>
          <w:b/>
          <w:bCs/>
          <w:noProof/>
          <w:sz w:val="24"/>
          <w:szCs w:val="24"/>
        </w:rPr>
        <w:t xml:space="preserve">What investment strategy does this financial product follow? </w:t>
      </w:r>
    </w:p>
    <w:p w:rsidRPr="002A0300" w:rsidR="002A0300" w:rsidP="002A0300" w:rsidRDefault="002A0300" w14:paraId="1C5C32C0" w14:textId="4A2EDF66">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The Sub-Fund mainly invests directly or through derivatives in corporate and government bonds issued in Emerging Markets, and denominated in hard or local currency. These investments may be below investment grade, however, the Sub-Fund will invest a minimum of 51% of assets in investment-</w:t>
      </w:r>
      <w:r w:rsidRPr="002A0300" w:rsidR="00391110">
        <w:rPr>
          <w:rFonts w:eastAsia="Calibri" w:asciiTheme="minorBidi" w:hAnsiTheme="minorBidi"/>
          <w:noProof/>
          <w:sz w:val="18"/>
          <w:szCs w:val="18"/>
          <w:lang w:eastAsia="zh-CN"/>
        </w:rPr>
        <w:lastRenderedPageBreak/>
        <mc:AlternateContent>
          <mc:Choice Requires="wps">
            <w:drawing>
              <wp:anchor distT="0" distB="0" distL="114300" distR="114300" simplePos="0" relativeHeight="251658244" behindDoc="0" locked="0" layoutInCell="1" allowOverlap="1" wp14:editId="37861EA6" wp14:anchorId="2AF213FF">
                <wp:simplePos x="0" y="0"/>
                <wp:positionH relativeFrom="page">
                  <wp:posOffset>29210</wp:posOffset>
                </wp:positionH>
                <wp:positionV relativeFrom="page">
                  <wp:posOffset>626110</wp:posOffset>
                </wp:positionV>
                <wp:extent cx="1226185" cy="1314450"/>
                <wp:effectExtent l="0" t="0" r="0" b="0"/>
                <wp:wrapSquare wrapText="bothSides"/>
                <wp:docPr id="26" name="Rectangle 26"/>
                <wp:cNvGraphicFramePr/>
                <a:graphic xmlns:a="http://schemas.openxmlformats.org/drawingml/2006/main">
                  <a:graphicData uri="http://schemas.microsoft.com/office/word/2010/wordprocessingShape">
                    <wps:wsp>
                      <wps:cNvSpPr/>
                      <wps:spPr>
                        <a:xfrm>
                          <a:off x="0" y="0"/>
                          <a:ext cx="1226185" cy="1314450"/>
                        </a:xfrm>
                        <a:prstGeom prst="rect">
                          <a:avLst/>
                        </a:prstGeom>
                        <a:solidFill>
                          <a:sysClr val="window" lastClr="FFFFFF">
                            <a:lumMod val="95000"/>
                          </a:sysClr>
                        </a:solidFill>
                        <a:ln w="12700" cap="flat" cmpd="sng" algn="ctr">
                          <a:noFill/>
                          <a:prstDash val="solid"/>
                          <a:miter lim="800000"/>
                        </a:ln>
                        <a:effectLst/>
                      </wps:spPr>
                      <wps:txbx>
                        <w:txbxContent>
                          <w:p w:rsidRPr="006857A9" w:rsidR="002A0300" w:rsidP="002A0300" w:rsidRDefault="002A0300" w14:paraId="6567D18C" w14:textId="77777777">
                            <w:pPr>
                              <w:ind w:left="-142" w:right="-258"/>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The investment strategy </w:t>
                            </w:r>
                            <w:r w:rsidRPr="006857A9">
                              <w:rPr>
                                <w:rFonts w:asciiTheme="minorHAnsi" w:hAnsiTheme="minorHAnsi" w:cstheme="minorHAnsi"/>
                                <w:bCs/>
                                <w:color w:val="000000"/>
                                <w:sz w:val="20"/>
                              </w:rPr>
                              <w:t>guides investment decisions based on factors such as investment objectives and risk tolerance.</w:t>
                            </w:r>
                          </w:p>
                          <w:p w:rsidRPr="001F6C54" w:rsidR="002A0300" w:rsidP="002A0300" w:rsidRDefault="002A0300" w14:paraId="5ADEE3DD" w14:textId="77777777">
                            <w:pPr>
                              <w:ind w:left="-142"/>
                              <w:rPr>
                                <w:color w:val="000000"/>
                                <w:sz w:val="18"/>
                                <w:szCs w:val="18"/>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left:0;text-align:left;margin-left:2.3pt;margin-top:49.3pt;width:96.55pt;height:103.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31"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" w14:anchorId="2AF213FF">
                <v:textbox inset="4mm,1mm,7mm">
                  <w:txbxContent>
                    <w:p w:rsidRPr="006857A9" w:rsidR="002A0300" w:rsidP="002A0300" w:rsidRDefault="002A0300" w14:paraId="6567D18C" w14:textId="77777777">
                      <w:pPr>
                        <w:ind w:left="-142" w:right="-258"/>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The investment strategy </w:t>
                      </w:r>
                      <w:r w:rsidRPr="006857A9">
                        <w:rPr>
                          <w:rFonts w:asciiTheme="minorHAnsi" w:hAnsiTheme="minorHAnsi" w:cstheme="minorHAnsi"/>
                          <w:bCs/>
                          <w:color w:val="000000"/>
                          <w:sz w:val="20"/>
                        </w:rPr>
                        <w:t>guides investment decisions based on factors such as investment objectives and risk tolerance.</w:t>
                      </w:r>
                    </w:p>
                    <w:p w:rsidRPr="001F6C54" w:rsidR="002A0300" w:rsidP="002A0300" w:rsidRDefault="002A0300" w14:paraId="5ADEE3DD" w14:textId="77777777">
                      <w:pPr>
                        <w:ind w:left="-142"/>
                        <w:rPr>
                          <w:color w:val="000000"/>
                          <w:sz w:val="18"/>
                          <w:szCs w:val="18"/>
                        </w:rPr>
                      </w:pPr>
                    </w:p>
                  </w:txbxContent>
                </v:textbox>
                <w10:wrap type="square" anchorx="page" anchory="page"/>
              </v:rect>
            </w:pict>
          </mc:Fallback>
        </mc:AlternateContent>
      </w:r>
      <w:r w:rsidRPr="002A0300">
        <w:rPr>
          <w:rFonts w:eastAsia="Calibri" w:asciiTheme="minorBidi" w:hAnsiTheme="minorBidi"/>
          <w:noProof/>
          <w:color w:val="000000"/>
        </w:rPr>
        <w:t xml:space="preserve">grade bonds. The Sub-Fund generally favours direct investment but may, at times, invest through derivatives. </w:t>
      </w:r>
      <w:r w:rsidR="007A125D">
        <w:rPr>
          <w:rFonts w:eastAsia="Calibri" w:asciiTheme="minorBidi" w:hAnsiTheme="minorBidi"/>
          <w:noProof/>
          <w:color w:val="000000"/>
        </w:rPr>
        <w:t>Further information on the investment stratgegy is included in the “Investment Policy” section above.</w:t>
      </w:r>
    </w:p>
    <w:p w:rsidRPr="002A0300" w:rsidR="002A0300" w:rsidP="002A0300" w:rsidRDefault="002A0300" w14:paraId="1813B31D" w14:textId="63FBB3D5">
      <w:pPr>
        <w:tabs>
          <w:tab w:val="left" w:pos="2595"/>
          <w:tab w:val="left" w:pos="7230"/>
        </w:tabs>
        <w:spacing w:before="120" w:after="120" w:line="259" w:lineRule="auto"/>
        <w:ind w:right="1275"/>
        <w:rPr>
          <w:rFonts w:eastAsia="Calibri" w:asciiTheme="minorBidi" w:hAnsiTheme="minorBidi"/>
          <w:noProof/>
          <w:lang w:val="en-US"/>
        </w:rPr>
      </w:pPr>
    </w:p>
    <w:p w:rsidRPr="002A0300" w:rsidR="002A0300" w:rsidP="002A0300" w:rsidRDefault="002A0300" w14:paraId="46CB1E53" w14:textId="77777777">
      <w:pPr>
        <w:tabs>
          <w:tab w:val="left" w:pos="1843"/>
        </w:tabs>
        <w:spacing w:after="160" w:line="259" w:lineRule="auto"/>
        <w:ind w:left="851"/>
        <w:rPr>
          <w:rFonts w:eastAsia="Calibri" w:asciiTheme="minorBidi" w:hAnsiTheme="minorBidi"/>
          <w:b/>
          <w:bCs/>
          <w:i/>
          <w:iCs/>
          <w:noProof/>
        </w:rPr>
      </w:pPr>
      <w:r w:rsidRPr="002A0300">
        <w:rPr>
          <w:rFonts w:eastAsia="Calibri" w:asciiTheme="minorBidi" w:hAnsiTheme="minorBidi"/>
          <w:b/>
          <w:bCs/>
          <w:i/>
          <w:iCs/>
          <w:noProof/>
          <w:sz w:val="24"/>
          <w:szCs w:val="24"/>
          <w:lang w:eastAsia="zh-CN"/>
        </w:rPr>
        <mc:AlternateContent>
          <mc:Choice Requires="wps">
            <w:drawing>
              <wp:anchor distT="0" distB="0" distL="114300" distR="114300" simplePos="0" relativeHeight="251658245" behindDoc="0" locked="0" layoutInCell="1" allowOverlap="1" wp14:editId="7E8E2DAC" wp14:anchorId="2D85BC1B">
                <wp:simplePos x="0" y="0"/>
                <wp:positionH relativeFrom="column">
                  <wp:posOffset>283601</wp:posOffset>
                </wp:positionH>
                <wp:positionV relativeFrom="paragraph">
                  <wp:posOffset>39370</wp:posOffset>
                </wp:positionV>
                <wp:extent cx="130175" cy="130175"/>
                <wp:effectExtent l="0" t="0" r="3175" b="3175"/>
                <wp:wrapNone/>
                <wp:docPr id="27" name="Oval 2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7" style="position:absolute;margin-left:22.35pt;margin-top:3.1pt;width:10.25pt;height:10.2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" w14:anchorId="5F2A2F92">
                <v:stroke joinstyle="miter"/>
              </v:oval>
            </w:pict>
          </mc:Fallback>
        </mc:AlternateContent>
      </w:r>
      <w:r w:rsidRPr="002A0300">
        <w:rPr>
          <w:rFonts w:eastAsia="Calibri" w:asciiTheme="minorBidi" w:hAnsiTheme="minorBidi"/>
          <w:b/>
          <w:bCs/>
          <w:i/>
          <w:iCs/>
          <w:noProof/>
        </w:rPr>
        <w:t>What are the binding elements of the investment strategy used to select the investments to attain each of the environmental or social characteristics promoted by this financial product?</w:t>
      </w:r>
    </w:p>
    <w:p w:rsidRPr="002A0300" w:rsidR="002A0300" w:rsidP="002A0300" w:rsidRDefault="002A0300" w14:paraId="7957383B" w14:textId="77777777">
      <w:pPr>
        <w:spacing w:after="160" w:line="259" w:lineRule="auto"/>
        <w:rPr>
          <w:rFonts w:eastAsia="Calibri" w:asciiTheme="minorBidi" w:hAnsiTheme="minorBidi"/>
          <w:noProof/>
          <w:color w:val="000000"/>
        </w:rPr>
        <w:sectPr w:rsidRPr="002A0300" w:rsidR="002A0300" w:rsidSect="002A0300">
          <w:footerReference w:type="default" r:id="rId28"/>
          <w:pgSz w:w="11918" w:h="16854"/>
          <w:pgMar w:top="672" w:right="330" w:bottom="81" w:left="3234" w:header="720" w:footer="340" w:gutter="0"/>
          <w:cols w:space="720"/>
          <w:docGrid w:linePitch="299"/>
        </w:sectPr>
      </w:pPr>
    </w:p>
    <w:p w:rsidRPr="002A0300" w:rsidR="002A0300" w:rsidP="002A0300" w:rsidRDefault="002A0300" w14:paraId="221526B9" w14:textId="77777777">
      <w:pPr>
        <w:numPr>
          <w:ilvl w:val="0"/>
          <w:numId w:val="5"/>
        </w:numPr>
        <w:spacing w:after="160" w:line="259" w:lineRule="auto"/>
        <w:rPr>
          <w:rFonts w:eastAsia="Calibri" w:asciiTheme="minorBidi" w:hAnsiTheme="minorBidi"/>
          <w:noProof/>
          <w:color w:val="000000"/>
          <w:lang w:val="en-IE"/>
        </w:rPr>
      </w:pPr>
      <w:r w:rsidRPr="002A0300">
        <w:rPr>
          <w:rFonts w:eastAsia="Calibri" w:asciiTheme="minorBidi" w:hAnsiTheme="minorBidi"/>
          <w:noProof/>
          <w:color w:val="000000"/>
          <w:lang w:val="en-IE"/>
        </w:rPr>
        <w:lastRenderedPageBreak/>
        <w:t>The ESG scoring methodology of the Sub-Fund must cover at least:</w:t>
      </w:r>
    </w:p>
    <w:p w:rsidRPr="002A0300" w:rsidR="002A0300" w:rsidP="002A0300" w:rsidRDefault="002A0300" w14:paraId="207B4147" w14:textId="77777777">
      <w:pPr>
        <w:numPr>
          <w:ilvl w:val="1"/>
          <w:numId w:val="5"/>
        </w:numPr>
        <w:spacing w:after="160" w:line="259" w:lineRule="auto"/>
        <w:rPr>
          <w:rFonts w:eastAsia="Calibri" w:asciiTheme="minorBidi" w:hAnsiTheme="minorBidi"/>
          <w:noProof/>
          <w:color w:val="000000"/>
          <w:lang w:val="en-IE"/>
        </w:rPr>
      </w:pPr>
      <w:r w:rsidRPr="002A0300">
        <w:rPr>
          <w:rFonts w:eastAsia="Calibri" w:asciiTheme="minorBidi" w:hAnsiTheme="minorBidi"/>
          <w:noProof/>
          <w:color w:val="000000"/>
          <w:lang w:val="en-IE"/>
        </w:rPr>
        <w:t>90% of investments in each of these asset classes: sovereign debt from developed countries, and investment grade debt securities (including money market instruments);</w:t>
      </w:r>
    </w:p>
    <w:p w:rsidRPr="002A0300" w:rsidR="002A0300" w:rsidP="002A0300" w:rsidRDefault="002A0300" w14:paraId="338411DE" w14:textId="77777777">
      <w:pPr>
        <w:numPr>
          <w:ilvl w:val="1"/>
          <w:numId w:val="5"/>
        </w:numPr>
        <w:spacing w:after="160" w:line="259" w:lineRule="auto"/>
        <w:rPr>
          <w:rFonts w:eastAsia="Calibri" w:asciiTheme="minorBidi" w:hAnsiTheme="minorBidi"/>
          <w:noProof/>
          <w:color w:val="000000"/>
          <w:lang w:val="en-IE"/>
        </w:rPr>
      </w:pPr>
      <w:r w:rsidRPr="002A0300">
        <w:rPr>
          <w:rFonts w:eastAsia="Calibri" w:asciiTheme="minorBidi" w:hAnsiTheme="minorBidi"/>
          <w:noProof/>
          <w:color w:val="000000"/>
          <w:lang w:val="en-IE"/>
        </w:rPr>
        <w:t>75% of investments in each of these asset classes: large capitalisation equities and sovereign debt from emerging countries, small and mid-capitalisation equities, and below investment grade debt securities (including money market instruments).</w:t>
      </w:r>
    </w:p>
    <w:p w:rsidRPr="002A0300" w:rsidR="002A0300" w:rsidP="002A0300" w:rsidRDefault="002A0300" w14:paraId="6CAE39A7" w14:textId="77777777">
      <w:pPr>
        <w:numPr>
          <w:ilvl w:val="0"/>
          <w:numId w:val="5"/>
        </w:numPr>
        <w:spacing w:after="160" w:line="259" w:lineRule="auto"/>
        <w:rPr>
          <w:rFonts w:eastAsia="Calibri" w:asciiTheme="minorBidi" w:hAnsiTheme="minorBidi"/>
          <w:noProof/>
          <w:color w:val="000000"/>
          <w:lang w:val="en-IE"/>
        </w:rPr>
      </w:pPr>
      <w:r w:rsidRPr="002A0300">
        <w:rPr>
          <w:rFonts w:eastAsia="Calibri" w:asciiTheme="minorBidi" w:hAnsiTheme="minorBidi"/>
          <w:noProof/>
          <w:color w:val="000000"/>
          <w:lang w:val="en-IE"/>
        </w:rPr>
        <w:t>The Sub-Fund aims to pursue an "ESG score" calculated at the overall portfolio level, higher than that of the Sub-Fund’s investment universe, through the integration of ESG factors in the analysis, selection, and composition of its investments. The ESG score is representative of the environmental, social and corporate governance opportunities and risks to which an issuer is exposed and takes into account the issuer's management of these risks. The Sub-Fund's ESG score is calculated as a weighted average of the ESG scores of the issuers of the financial instruments held in the Sub-Fund's portfolio.</w:t>
      </w:r>
    </w:p>
    <w:p w:rsidRPr="002A0300" w:rsidR="002A0300" w:rsidP="002A0300" w:rsidRDefault="00391110" w14:paraId="72E6AADC" w14:textId="01F27E44">
      <w:pPr>
        <w:numPr>
          <w:ilvl w:val="0"/>
          <w:numId w:val="5"/>
        </w:numPr>
        <w:spacing w:after="160" w:line="259" w:lineRule="auto"/>
        <w:rPr>
          <w:rFonts w:eastAsia="Calibri" w:asciiTheme="minorBidi" w:hAnsiTheme="minorBidi"/>
          <w:noProof/>
          <w:color w:val="000000"/>
          <w:lang w:val="en-IE"/>
        </w:rPr>
      </w:pPr>
      <w:r w:rsidRPr="002A0300">
        <w:rPr>
          <w:rFonts w:eastAsia="Calibri" w:asciiTheme="minorBidi" w:hAnsiTheme="minorBidi"/>
          <w:noProof/>
          <w:lang w:eastAsia="zh-CN"/>
        </w:rPr>
        <mc:AlternateContent>
          <mc:Choice Requires="wps">
            <w:drawing>
              <wp:anchor distT="0" distB="0" distL="114300" distR="114300" simplePos="0" relativeHeight="251658284" behindDoc="0" locked="0" layoutInCell="1" allowOverlap="1" wp14:editId="4D04279B" wp14:anchorId="6AC628F7">
                <wp:simplePos x="0" y="0"/>
                <wp:positionH relativeFrom="page">
                  <wp:posOffset>17780</wp:posOffset>
                </wp:positionH>
                <wp:positionV relativeFrom="margin">
                  <wp:posOffset>4535170</wp:posOffset>
                </wp:positionV>
                <wp:extent cx="1219200" cy="1382395"/>
                <wp:effectExtent l="0" t="0" r="0" b="8255"/>
                <wp:wrapSquare wrapText="bothSides"/>
                <wp:docPr id="346" name="Rectangle 346"/>
                <wp:cNvGraphicFramePr/>
                <a:graphic xmlns:a="http://schemas.openxmlformats.org/drawingml/2006/main">
                  <a:graphicData uri="http://schemas.microsoft.com/office/word/2010/wordprocessingShape">
                    <wps:wsp>
                      <wps:cNvSpPr/>
                      <wps:spPr>
                        <a:xfrm>
                          <a:off x="0" y="0"/>
                          <a:ext cx="1219200" cy="1382395"/>
                        </a:xfrm>
                        <a:prstGeom prst="rect">
                          <a:avLst/>
                        </a:prstGeom>
                        <a:solidFill>
                          <a:sysClr val="window" lastClr="FFFFFF">
                            <a:lumMod val="95000"/>
                          </a:sysClr>
                        </a:solidFill>
                        <a:ln w="12700" cap="flat" cmpd="sng" algn="ctr">
                          <a:noFill/>
                          <a:prstDash val="solid"/>
                          <a:miter lim="800000"/>
                        </a:ln>
                        <a:effectLst/>
                      </wps:spPr>
                      <wps:txbx>
                        <w:txbxContent>
                          <w:p w:rsidRPr="001678F4" w:rsidR="002A0300" w:rsidP="002A0300" w:rsidRDefault="002A0300" w14:paraId="33D886BA" w14:textId="77777777">
                            <w:pPr>
                              <w:ind w:left="-142" w:right="-272"/>
                              <w:rPr>
                                <w:rFonts w:asciiTheme="minorHAnsi" w:hAnsiTheme="minorHAnsi" w:cstheme="minorHAnsi"/>
                                <w:b/>
                                <w:bCs/>
                                <w:color w:val="000000"/>
                                <w:sz w:val="20"/>
                              </w:rPr>
                            </w:pPr>
                            <w:r w:rsidRPr="001678F4">
                              <w:rPr>
                                <w:rFonts w:asciiTheme="minorHAnsi" w:hAnsiTheme="minorHAnsi" w:cstheme="minorHAnsi"/>
                                <w:b/>
                                <w:bCs/>
                                <w:color w:val="000000"/>
                                <w:sz w:val="20"/>
                              </w:rPr>
                              <w:t xml:space="preserve">Good governance </w:t>
                            </w:r>
                            <w:r w:rsidRPr="001678F4">
                              <w:rPr>
                                <w:rFonts w:asciiTheme="minorHAnsi" w:hAnsiTheme="minorHAnsi" w:cstheme="minorHAnsi"/>
                                <w:bCs/>
                                <w:color w:val="000000"/>
                                <w:sz w:val="20"/>
                              </w:rPr>
                              <w:t>practices include sound management structures, employee relations, remuneration of staff and tax compliance.</w:t>
                            </w:r>
                            <w:r w:rsidRPr="001678F4">
                              <w:rPr>
                                <w:rFonts w:asciiTheme="minorHAnsi" w:hAnsiTheme="minorHAnsi" w:cstheme="minorHAnsi"/>
                                <w:b/>
                                <w:bCs/>
                                <w:color w:val="000000"/>
                                <w:sz w:val="20"/>
                              </w:rPr>
                              <w:t xml:space="preserve"> </w:t>
                            </w:r>
                          </w:p>
                          <w:p w:rsidRPr="001678F4" w:rsidR="002A0300" w:rsidP="002A0300" w:rsidRDefault="002A0300" w14:paraId="14B56790" w14:textId="77777777">
                            <w:pPr>
                              <w:ind w:left="-14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6" style="position:absolute;left:0;text-align:left;margin-left:1.4pt;margin-top:357.1pt;width:96pt;height:108.85pt;z-index:2516582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32"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" w14:anchorId="6AC628F7">
                <v:textbox inset="4mm,1mm,7mm">
                  <w:txbxContent>
                    <w:p w:rsidRPr="001678F4" w:rsidR="002A0300" w:rsidP="002A0300" w:rsidRDefault="002A0300" w14:paraId="33D886BA" w14:textId="77777777">
                      <w:pPr>
                        <w:ind w:left="-142" w:right="-272"/>
                        <w:rPr>
                          <w:rFonts w:asciiTheme="minorHAnsi" w:hAnsiTheme="minorHAnsi" w:cstheme="minorHAnsi"/>
                          <w:b/>
                          <w:bCs/>
                          <w:color w:val="000000"/>
                          <w:sz w:val="20"/>
                        </w:rPr>
                      </w:pPr>
                      <w:r w:rsidRPr="001678F4">
                        <w:rPr>
                          <w:rFonts w:asciiTheme="minorHAnsi" w:hAnsiTheme="minorHAnsi" w:cstheme="minorHAnsi"/>
                          <w:b/>
                          <w:bCs/>
                          <w:color w:val="000000"/>
                          <w:sz w:val="20"/>
                        </w:rPr>
                        <w:t xml:space="preserve">Good governance </w:t>
                      </w:r>
                      <w:r w:rsidRPr="001678F4">
                        <w:rPr>
                          <w:rFonts w:asciiTheme="minorHAnsi" w:hAnsiTheme="minorHAnsi" w:cstheme="minorHAnsi"/>
                          <w:bCs/>
                          <w:color w:val="000000"/>
                          <w:sz w:val="20"/>
                        </w:rPr>
                        <w:t>practices include sound management structures, employee relations, remuneration of staff and tax compliance.</w:t>
                      </w:r>
                      <w:r w:rsidRPr="001678F4">
                        <w:rPr>
                          <w:rFonts w:asciiTheme="minorHAnsi" w:hAnsiTheme="minorHAnsi" w:cstheme="minorHAnsi"/>
                          <w:b/>
                          <w:bCs/>
                          <w:color w:val="000000"/>
                          <w:sz w:val="20"/>
                        </w:rPr>
                        <w:t xml:space="preserve"> </w:t>
                      </w:r>
                    </w:p>
                    <w:p w:rsidRPr="001678F4" w:rsidR="002A0300" w:rsidP="002A0300" w:rsidRDefault="002A0300" w14:paraId="14B56790" w14:textId="77777777">
                      <w:pPr>
                        <w:ind w:left="-142"/>
                        <w:rPr>
                          <w:rFonts w:asciiTheme="minorHAnsi" w:hAnsiTheme="minorHAnsi" w:cstheme="minorHAnsi"/>
                          <w:color w:val="000000"/>
                        </w:rPr>
                      </w:pPr>
                    </w:p>
                  </w:txbxContent>
                </v:textbox>
                <w10:wrap type="square" anchorx="page" anchory="margin"/>
              </v:rect>
            </w:pict>
          </mc:Fallback>
        </mc:AlternateContent>
      </w:r>
      <w:r w:rsidRPr="002A0300" w:rsidR="002A0300">
        <w:rPr>
          <w:rFonts w:eastAsia="Calibri" w:asciiTheme="minorBidi" w:hAnsiTheme="minorBidi"/>
          <w:noProof/>
          <w:color w:val="000000"/>
          <w:lang w:val="en-IE"/>
        </w:rPr>
        <w:t>The exclusion from the Sub-Fund's investment universe of the issuers operating in sectors deemed not "socially and environmentally responsible", that is, (i) in companies characterized by a clear direct involvement in the manufacture of unconventional weapons, (ii) in companies that derive at least 25% of their turnover from mining or electricity production activities linked to thermal coal or (iii) in companies that derive at least 10% of their turnover from the extraction of oil sands.</w:t>
      </w:r>
    </w:p>
    <w:p w:rsidRPr="002A0300" w:rsidR="002A0300" w:rsidP="002A0300" w:rsidRDefault="002A0300" w14:paraId="1635A90B" w14:textId="3F2EB705">
      <w:pPr>
        <w:numPr>
          <w:ilvl w:val="0"/>
          <w:numId w:val="5"/>
        </w:numPr>
        <w:spacing w:after="160" w:line="259" w:lineRule="auto"/>
        <w:rPr>
          <w:rFonts w:eastAsia="Calibri" w:asciiTheme="minorBidi" w:hAnsiTheme="minorBidi"/>
          <w:noProof/>
          <w:color w:val="000000"/>
          <w:u w:val="single"/>
          <w:lang w:val="en-IE"/>
        </w:rPr>
      </w:pPr>
      <w:r w:rsidRPr="002A0300">
        <w:rPr>
          <w:rFonts w:eastAsia="Calibri" w:asciiTheme="minorBidi" w:hAnsiTheme="minorBidi"/>
          <w:noProof/>
          <w:color w:val="000000"/>
          <w:lang w:val="en-IE"/>
        </w:rPr>
        <w:t>The exclusion from the Sub-Fund's investment universe of the companies with the highest exposure to environmental, social and corporate governance risks, i.e. with a lower ESG sustainability rating level (equal to "CCC" assigned by the specialised info-provider "</w:t>
      </w:r>
      <w:r w:rsidRPr="002A0300">
        <w:rPr>
          <w:rFonts w:eastAsia="Calibri" w:asciiTheme="minorBidi" w:hAnsiTheme="minorBidi"/>
          <w:noProof/>
          <w:color w:val="000000"/>
          <w:u w:val="single"/>
          <w:lang w:val="en-IE"/>
        </w:rPr>
        <w:t>MSCI ESG Research</w:t>
      </w:r>
      <w:r w:rsidRPr="002A0300">
        <w:rPr>
          <w:rFonts w:eastAsia="Calibri" w:asciiTheme="minorBidi" w:hAnsiTheme="minorBidi"/>
          <w:noProof/>
          <w:color w:val="000000"/>
          <w:lang w:val="en-IE"/>
        </w:rPr>
        <w:t>") ("</w:t>
      </w:r>
      <w:r w:rsidRPr="002A0300">
        <w:rPr>
          <w:rFonts w:eastAsia="Calibri" w:asciiTheme="minorBidi" w:hAnsiTheme="minorBidi"/>
          <w:noProof/>
          <w:color w:val="000000"/>
          <w:u w:val="single"/>
          <w:lang w:val="en-IE"/>
        </w:rPr>
        <w:t>critical issuers</w:t>
      </w:r>
      <w:r w:rsidRPr="002A0300">
        <w:rPr>
          <w:rFonts w:eastAsia="Calibri" w:asciiTheme="minorBidi" w:hAnsiTheme="minorBidi"/>
          <w:noProof/>
          <w:color w:val="000000"/>
          <w:lang w:val="en-IE"/>
        </w:rPr>
        <w:t>").</w:t>
      </w:r>
    </w:p>
    <w:p w:rsidRPr="002A0300" w:rsidR="002A0300" w:rsidP="002A0300" w:rsidRDefault="002A0300" w14:paraId="23A2CCDC" w14:textId="77777777">
      <w:pPr>
        <w:numPr>
          <w:ilvl w:val="0"/>
          <w:numId w:val="5"/>
        </w:numPr>
        <w:spacing w:after="160" w:line="259" w:lineRule="auto"/>
        <w:rPr>
          <w:rFonts w:eastAsia="Calibri" w:asciiTheme="minorBidi" w:hAnsiTheme="minorBidi"/>
          <w:noProof/>
          <w:color w:val="000000"/>
          <w:u w:val="single"/>
          <w:lang w:val="en-IE"/>
        </w:rPr>
      </w:pPr>
      <w:r w:rsidRPr="002A0300">
        <w:rPr>
          <w:rFonts w:eastAsia="Calibri" w:asciiTheme="minorBidi" w:hAnsiTheme="minorBidi"/>
          <w:noProof/>
          <w:color w:val="000000"/>
          <w:lang w:val="en-IE"/>
        </w:rPr>
        <w:t>The Sub-Fund promotes environmental and/or social characteristics but it does not commit itself to make sustainable investments within the meaning of art. 2(17) of Regulation (EU) 2019/2088.</w:t>
      </w:r>
    </w:p>
    <w:p w:rsidRPr="002A0300" w:rsidR="002A0300" w:rsidP="002A0300" w:rsidRDefault="002A0300" w14:paraId="3799E0CD" w14:textId="77777777">
      <w:pPr>
        <w:spacing w:after="160" w:line="259" w:lineRule="auto"/>
        <w:ind w:left="1843"/>
        <w:rPr>
          <w:rFonts w:eastAsia="Calibri" w:asciiTheme="minorBidi" w:hAnsiTheme="minorBidi"/>
          <w:b/>
          <w:bCs/>
          <w:i/>
          <w:iCs/>
          <w:noProof/>
        </w:rPr>
      </w:pPr>
    </w:p>
    <w:p w:rsidRPr="002A0300" w:rsidR="002A0300" w:rsidP="002A0300" w:rsidRDefault="002A0300" w14:paraId="2551D9E3" w14:textId="77777777">
      <w:pPr>
        <w:spacing w:after="160" w:line="259" w:lineRule="auto"/>
        <w:ind w:left="851"/>
        <w:rPr>
          <w:rFonts w:eastAsia="Calibri" w:asciiTheme="minorBidi" w:hAnsiTheme="minorBidi"/>
          <w:b/>
          <w:bCs/>
          <w:i/>
          <w:iCs/>
          <w:noProof/>
          <w:lang w:eastAsia="zh-CN"/>
        </w:rPr>
      </w:pPr>
      <w:r w:rsidRPr="002A0300">
        <w:rPr>
          <w:rFonts w:eastAsia="Calibri" w:asciiTheme="minorBidi" w:hAnsiTheme="minorBidi"/>
          <w:b/>
          <w:bCs/>
          <w:i/>
          <w:iCs/>
          <w:noProof/>
          <w:lang w:eastAsia="zh-CN"/>
        </w:rPr>
        <mc:AlternateContent>
          <mc:Choice Requires="wps">
            <w:drawing>
              <wp:anchor distT="0" distB="0" distL="114300" distR="114300" simplePos="0" relativeHeight="251658250" behindDoc="0" locked="0" layoutInCell="1" allowOverlap="1" wp14:editId="22672A15" wp14:anchorId="2F7B25D5">
                <wp:simplePos x="0" y="0"/>
                <wp:positionH relativeFrom="margin">
                  <wp:posOffset>314325</wp:posOffset>
                </wp:positionH>
                <wp:positionV relativeFrom="paragraph">
                  <wp:posOffset>4445</wp:posOffset>
                </wp:positionV>
                <wp:extent cx="130175" cy="130175"/>
                <wp:effectExtent l="0" t="0" r="3175" b="3175"/>
                <wp:wrapNone/>
                <wp:docPr id="345" name="Oval 3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45" style="position:absolute;margin-left:24.75pt;margin-top:.35pt;width:10.25pt;height:10.25pt;z-index:25165825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" w14:anchorId="61794F77">
                <v:stroke joinstyle="miter"/>
                <w10:wrap anchorx="margin"/>
              </v:oval>
            </w:pict>
          </mc:Fallback>
        </mc:AlternateContent>
      </w:r>
      <w:r w:rsidRPr="002A0300">
        <w:rPr>
          <w:rFonts w:eastAsia="Calibri" w:asciiTheme="minorBidi" w:hAnsiTheme="minorBidi"/>
          <w:b/>
          <w:bCs/>
          <w:i/>
          <w:iCs/>
          <w:noProof/>
          <w:lang w:eastAsia="zh-CN"/>
        </w:rPr>
        <w:t>What is the committed minimum rate to reduce the scope of the investments considered prior to the application of that investment strategy?</w:t>
      </w:r>
      <w:r w:rsidRPr="002A0300">
        <w:rPr>
          <w:rFonts w:eastAsia="Calibri" w:asciiTheme="minorBidi" w:hAnsiTheme="minorBidi"/>
          <w:b/>
          <w:bCs/>
          <w:i/>
          <w:iCs/>
          <w:noProof/>
          <w:sz w:val="18"/>
          <w:szCs w:val="18"/>
          <w:lang w:eastAsia="zh-CN"/>
        </w:rPr>
        <w:t xml:space="preserve"> </w:t>
      </w:r>
    </w:p>
    <w:p w:rsidRPr="002A0300" w:rsidR="002A0300" w:rsidP="002A0300" w:rsidRDefault="002A0300" w14:paraId="5020A2E5"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There is not a specific minimum rate of commitment for reducing the scope of the investments considered prior to the application of that investment strategy.</w:t>
      </w:r>
    </w:p>
    <w:p w:rsidRPr="002A0300" w:rsidR="002A0300" w:rsidP="002A0300" w:rsidRDefault="002A0300" w14:paraId="0F160555" w14:textId="2D1B0DF0">
      <w:pPr>
        <w:spacing w:after="260"/>
        <w:ind w:left="993"/>
        <w:rPr>
          <w:rFonts w:eastAsia="Calibri" w:asciiTheme="minorBidi" w:hAnsiTheme="minorBidi"/>
          <w:noProof/>
          <w:color w:val="000000"/>
        </w:rPr>
      </w:pPr>
      <w:r w:rsidRPr="002A0300">
        <w:rPr>
          <w:rFonts w:eastAsia="Calibri" w:asciiTheme="minorBidi" w:hAnsiTheme="minorBidi"/>
          <w:noProof/>
          <w:color w:val="000000"/>
        </w:rPr>
        <w:t xml:space="preserve">The Sub-Fund pursues an investment strategy that includes exclusions and negative screening for the purposes of attaining the environmental and social </w:t>
      </w:r>
      <w:r w:rsidRPr="002A0300">
        <w:rPr>
          <w:rFonts w:eastAsia="Calibri" w:asciiTheme="minorBidi" w:hAnsiTheme="minorBidi"/>
          <w:noProof/>
          <w:color w:val="000000"/>
        </w:rPr>
        <w:lastRenderedPageBreak/>
        <w:t>characteristics. However, it is not possible to ascertain what percentage of the investible universe as a whole is excluded based on that strategy.</w:t>
      </w:r>
    </w:p>
    <w:p w:rsidRPr="002A0300" w:rsidR="002A0300" w:rsidP="002A0300" w:rsidRDefault="002A0300" w14:paraId="5AD7550F" w14:textId="77777777">
      <w:pPr>
        <w:spacing w:after="160" w:line="259" w:lineRule="auto"/>
        <w:ind w:left="993"/>
        <w:rPr>
          <w:rFonts w:eastAsia="Calibri" w:asciiTheme="minorBidi" w:hAnsiTheme="minorBidi"/>
          <w:noProof/>
          <w:color w:val="000000"/>
        </w:rPr>
      </w:pPr>
    </w:p>
    <w:p w:rsidRPr="002A0300" w:rsidR="002A0300" w:rsidP="002A0300" w:rsidRDefault="002A0300" w14:paraId="11E70FB9" w14:textId="77777777">
      <w:pPr>
        <w:spacing w:after="160" w:line="259" w:lineRule="auto"/>
        <w:ind w:left="851"/>
        <w:rPr>
          <w:rFonts w:eastAsia="Calibri" w:asciiTheme="minorBidi" w:hAnsiTheme="minorBidi"/>
          <w:bCs/>
          <w:i/>
          <w:iCs/>
          <w:noProof/>
          <w:color w:val="C00000"/>
          <w:sz w:val="18"/>
          <w:szCs w:val="18"/>
          <w:lang w:val="en-IE" w:eastAsia="zh-CN"/>
        </w:rPr>
      </w:pPr>
      <w:r w:rsidRPr="002A0300">
        <w:rPr>
          <w:rFonts w:eastAsia="Calibri" w:asciiTheme="minorBidi" w:hAnsiTheme="minorBidi"/>
          <w:b/>
          <w:bCs/>
          <w:i/>
          <w:iCs/>
          <w:noProof/>
          <w:sz w:val="24"/>
          <w:szCs w:val="24"/>
          <w:lang w:eastAsia="zh-CN"/>
        </w:rPr>
        <mc:AlternateContent>
          <mc:Choice Requires="wps">
            <w:drawing>
              <wp:anchor distT="0" distB="0" distL="114300" distR="114300" simplePos="0" relativeHeight="251658246" behindDoc="0" locked="0" layoutInCell="1" allowOverlap="1" wp14:editId="2EA2B083" wp14:anchorId="5E6A49EB">
                <wp:simplePos x="0" y="0"/>
                <wp:positionH relativeFrom="column">
                  <wp:posOffset>279888</wp:posOffset>
                </wp:positionH>
                <wp:positionV relativeFrom="paragraph">
                  <wp:posOffset>1905</wp:posOffset>
                </wp:positionV>
                <wp:extent cx="130175" cy="130175"/>
                <wp:effectExtent l="0" t="0" r="3175" b="3175"/>
                <wp:wrapNone/>
                <wp:docPr id="31" name="Oval 31"/>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1" style="position:absolute;margin-left:22.05pt;margin-top:.15pt;width:10.25pt;height:10.2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" w14:anchorId="0702AB28">
                <v:stroke joinstyle="miter"/>
              </v:oval>
            </w:pict>
          </mc:Fallback>
        </mc:AlternateContent>
      </w:r>
      <w:r w:rsidRPr="002A0300">
        <w:rPr>
          <w:rFonts w:eastAsia="Calibri" w:asciiTheme="minorBidi" w:hAnsiTheme="minorBidi"/>
          <w:b/>
          <w:bCs/>
          <w:i/>
          <w:iCs/>
          <w:noProof/>
        </w:rPr>
        <w:t>What is the policy to assess good governance practices of the investee companies?</w:t>
      </w:r>
      <w:r w:rsidRPr="002A0300">
        <w:rPr>
          <w:rFonts w:eastAsia="SimSun" w:asciiTheme="minorBidi" w:hAnsiTheme="minorBidi"/>
          <w:noProof/>
          <w:lang w:eastAsia="zh-CN"/>
        </w:rPr>
        <w:t xml:space="preserve"> </w:t>
      </w:r>
    </w:p>
    <w:p w:rsidRPr="002A0300" w:rsidR="002A0300" w:rsidP="002A0300" w:rsidRDefault="002A0300" w14:paraId="6852D591"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Compliance with issuers' good governance practices is ensured through the application of ESG and SRI exclusions criteria. The absence of criticality in these areas is considered as a minimum requirement that guarantees the good governance of an issuer for inclusion in the investible universe.</w:t>
      </w:r>
    </w:p>
    <w:p w:rsidRPr="002A0300" w:rsidR="002A0300" w:rsidP="002A0300" w:rsidRDefault="002A0300" w14:paraId="4CD7FFB4"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Examples of criticalities may include:</w:t>
      </w:r>
    </w:p>
    <w:p w:rsidRPr="002A0300" w:rsidR="002A0300" w:rsidP="002A0300" w:rsidRDefault="002A0300" w14:paraId="1579890A" w14:textId="77777777">
      <w:pPr>
        <w:numPr>
          <w:ilvl w:val="0"/>
          <w:numId w:val="4"/>
        </w:numPr>
        <w:spacing w:after="160" w:line="259" w:lineRule="auto"/>
        <w:rPr>
          <w:rFonts w:eastAsia="Calibri" w:asciiTheme="minorBidi" w:hAnsiTheme="minorBidi"/>
          <w:noProof/>
          <w:color w:val="000000"/>
        </w:rPr>
      </w:pPr>
      <w:r w:rsidRPr="002A0300">
        <w:rPr>
          <w:rFonts w:eastAsia="Calibri" w:asciiTheme="minorBidi" w:hAnsiTheme="minorBidi"/>
          <w:noProof/>
          <w:color w:val="000000"/>
        </w:rPr>
        <w:t>no independent members on the issuer’s administrative body;</w:t>
      </w:r>
    </w:p>
    <w:p w:rsidRPr="002A0300" w:rsidR="002A0300" w:rsidP="002A0300" w:rsidRDefault="002A0300" w14:paraId="728B06A4" w14:textId="77777777">
      <w:pPr>
        <w:numPr>
          <w:ilvl w:val="0"/>
          <w:numId w:val="4"/>
        </w:numPr>
        <w:spacing w:after="160" w:line="259" w:lineRule="auto"/>
        <w:rPr>
          <w:rFonts w:eastAsia="Calibri" w:asciiTheme="minorBidi" w:hAnsiTheme="minorBidi"/>
          <w:noProof/>
          <w:color w:val="000000"/>
        </w:rPr>
      </w:pPr>
      <w:r w:rsidRPr="002A0300">
        <w:rPr>
          <w:rFonts w:eastAsia="Calibri" w:asciiTheme="minorBidi" w:hAnsiTheme="minorBidi"/>
          <w:noProof/>
          <w:color w:val="000000"/>
        </w:rPr>
        <w:t>accounting investigations, internal or by external authorities;</w:t>
      </w:r>
    </w:p>
    <w:p w:rsidRPr="002A0300" w:rsidR="002A0300" w:rsidP="002A0300" w:rsidRDefault="002A0300" w14:paraId="5A8AC2C1" w14:textId="77777777">
      <w:pPr>
        <w:numPr>
          <w:ilvl w:val="0"/>
          <w:numId w:val="4"/>
        </w:numPr>
        <w:spacing w:after="160" w:line="259" w:lineRule="auto"/>
        <w:rPr>
          <w:rFonts w:eastAsia="Calibri" w:asciiTheme="minorBidi" w:hAnsiTheme="minorBidi"/>
          <w:noProof/>
          <w:color w:val="000000"/>
        </w:rPr>
      </w:pPr>
      <w:r w:rsidRPr="002A0300">
        <w:rPr>
          <w:rFonts w:eastAsia="Calibri" w:asciiTheme="minorBidi" w:hAnsiTheme="minorBidi"/>
          <w:noProof/>
          <w:color w:val="000000"/>
        </w:rPr>
        <w:t>sanctions or convictions for matters relating to accounting procedures; and</w:t>
      </w:r>
    </w:p>
    <w:p w:rsidRPr="002A0300" w:rsidR="002A0300" w:rsidP="002A0300" w:rsidRDefault="002A0300" w14:paraId="185E45A6" w14:textId="77777777">
      <w:pPr>
        <w:numPr>
          <w:ilvl w:val="0"/>
          <w:numId w:val="4"/>
        </w:numPr>
        <w:spacing w:after="160" w:line="259" w:lineRule="auto"/>
        <w:rPr>
          <w:rFonts w:eastAsia="Calibri" w:asciiTheme="minorBidi" w:hAnsiTheme="minorBidi"/>
          <w:noProof/>
          <w:color w:val="000000"/>
        </w:rPr>
      </w:pPr>
      <w:r w:rsidRPr="002A0300">
        <w:rPr>
          <w:rFonts w:eastAsia="Calibri" w:asciiTheme="minorBidi" w:hAnsiTheme="minorBidi"/>
          <w:noProof/>
          <w:color w:val="000000"/>
        </w:rPr>
        <w:t>bankruptcy or liquidation procedures.</w:t>
      </w:r>
    </w:p>
    <w:p w:rsidRPr="002A0300" w:rsidR="002A0300" w:rsidP="002A0300" w:rsidRDefault="002A0300" w14:paraId="73A2BB7B" w14:textId="4F3ABE8A">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 xml:space="preserve"> For details on the ESG and SRI exclusion criteria please refers to the answer to the question "What investment strategy does this financial product follow?".</w:t>
      </w:r>
    </w:p>
    <w:p w:rsidRPr="002A0300" w:rsidR="002A0300" w:rsidP="002A0300" w:rsidRDefault="002A0300" w14:paraId="44FF5724" w14:textId="6D6F4330">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drawing>
          <wp:anchor distT="0" distB="0" distL="114300" distR="114300" simplePos="0" relativeHeight="251658247" behindDoc="0" locked="0" layoutInCell="1" allowOverlap="1" wp14:editId="7B4C7316" wp14:anchorId="325A59E6">
            <wp:simplePos x="0" y="0"/>
            <wp:positionH relativeFrom="page">
              <wp:align>left</wp:align>
            </wp:positionH>
            <wp:positionV relativeFrom="paragraph">
              <wp:posOffset>120330</wp:posOffset>
            </wp:positionV>
            <wp:extent cx="1666875" cy="600075"/>
            <wp:effectExtent l="0" t="0" r="9525" b="9525"/>
            <wp:wrapSquare wrapText="bothSides"/>
            <wp:docPr id="233" name="Graphic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96DAC541-7B7A-43D3-8B79-37D633B846F1}">
                          <asvg:svgBlip xmlns:asvg="http://schemas.microsoft.com/office/drawing/2016/SVG/main" r:embed="rId30"/>
                        </a:ext>
                      </a:extLst>
                    </a:blip>
                    <a:stretch>
                      <a:fillRect/>
                    </a:stretch>
                  </pic:blipFill>
                  <pic:spPr>
                    <a:xfrm>
                      <a:off x="0" y="0"/>
                      <a:ext cx="1666875" cy="600075"/>
                    </a:xfrm>
                    <a:prstGeom prst="rect">
                      <a:avLst/>
                    </a:prstGeom>
                  </pic:spPr>
                </pic:pic>
              </a:graphicData>
            </a:graphic>
            <wp14:sizeRelH relativeFrom="margin">
              <wp14:pctWidth>0</wp14:pctWidth>
            </wp14:sizeRelH>
          </wp:anchor>
        </w:drawing>
      </w:r>
    </w:p>
    <w:p w:rsidRPr="002A0300" w:rsidR="002A0300" w:rsidP="002A0300" w:rsidRDefault="002A0300" w14:paraId="12BEEADB" w14:textId="7125B1F9">
      <w:pPr>
        <w:spacing w:after="160" w:line="259" w:lineRule="auto"/>
        <w:ind w:left="142"/>
        <w:rPr>
          <w:rFonts w:eastAsia="Calibri" w:asciiTheme="minorBidi" w:hAnsiTheme="minorBidi"/>
          <w:b/>
          <w:bCs/>
          <w:noProof/>
          <w:sz w:val="24"/>
          <w:lang w:eastAsia="zh-CN"/>
        </w:rPr>
      </w:pPr>
      <w:r w:rsidRPr="002A0300">
        <w:rPr>
          <w:rFonts w:eastAsia="Calibri" w:asciiTheme="minorBidi" w:hAnsiTheme="minorBidi"/>
          <w:b/>
          <w:bCs/>
          <w:noProof/>
          <w:sz w:val="24"/>
          <w:lang w:eastAsia="zh-CN"/>
        </w:rPr>
        <w:t xml:space="preserve">What is the asset allocation planned for this financial product? </w:t>
      </w:r>
    </w:p>
    <w:p w:rsidRPr="002A0300" w:rsidR="002A0300" w:rsidP="002A0300" w:rsidRDefault="00391110" w14:paraId="414480D1" w14:textId="4E299425">
      <w:pPr>
        <w:spacing w:after="160" w:line="259" w:lineRule="auto"/>
        <w:ind w:left="993"/>
        <w:rPr>
          <w:rFonts w:eastAsia="Calibri" w:asciiTheme="minorBidi" w:hAnsiTheme="minorBidi"/>
          <w:noProof/>
          <w:color w:val="000000"/>
        </w:rPr>
      </w:pPr>
      <w:r w:rsidRPr="002A0300">
        <w:rPr>
          <w:rFonts w:eastAsia="SimSun" w:asciiTheme="minorBidi" w:hAnsiTheme="minorBidi"/>
          <w:noProof/>
          <w:szCs w:val="24"/>
          <w:lang w:eastAsia="zh-CN"/>
        </w:rPr>
        <mc:AlternateContent>
          <mc:Choice Requires="wps">
            <w:drawing>
              <wp:anchor distT="0" distB="0" distL="114300" distR="114300" simplePos="0" relativeHeight="251658240" behindDoc="0" locked="0" layoutInCell="1" allowOverlap="1" wp14:editId="2C251E7E" wp14:anchorId="031A6929">
                <wp:simplePos x="0" y="0"/>
                <wp:positionH relativeFrom="page">
                  <wp:align>left</wp:align>
                </wp:positionH>
                <wp:positionV relativeFrom="margin">
                  <wp:posOffset>5137150</wp:posOffset>
                </wp:positionV>
                <wp:extent cx="1226185" cy="922020"/>
                <wp:effectExtent l="0" t="0" r="0" b="0"/>
                <wp:wrapSquare wrapText="bothSides"/>
                <wp:docPr id="380" name="Rectangle 380"/>
                <wp:cNvGraphicFramePr/>
                <a:graphic xmlns:a="http://schemas.openxmlformats.org/drawingml/2006/main">
                  <a:graphicData uri="http://schemas.microsoft.com/office/word/2010/wordprocessingShape">
                    <wps:wsp>
                      <wps:cNvSpPr/>
                      <wps:spPr>
                        <a:xfrm>
                          <a:off x="0" y="0"/>
                          <a:ext cx="1226185" cy="922020"/>
                        </a:xfrm>
                        <a:prstGeom prst="rect">
                          <a:avLst/>
                        </a:prstGeom>
                        <a:solidFill>
                          <a:sysClr val="window" lastClr="FFFFFF">
                            <a:lumMod val="95000"/>
                          </a:sysClr>
                        </a:solidFill>
                        <a:ln w="12700" cap="flat" cmpd="sng" algn="ctr">
                          <a:noFill/>
                          <a:prstDash val="solid"/>
                          <a:miter lim="800000"/>
                        </a:ln>
                        <a:effectLst/>
                      </wps:spPr>
                      <wps:txbx>
                        <w:txbxContent>
                          <w:p w:rsidRPr="006857A9" w:rsidR="002A0300" w:rsidP="002A0300" w:rsidRDefault="002A0300" w14:paraId="44685306" w14:textId="77777777">
                            <w:pPr>
                              <w:ind w:left="-142"/>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rsidRPr="00776340" w:rsidR="002A0300" w:rsidP="002A0300" w:rsidRDefault="002A0300" w14:paraId="7145F1CE" w14:textId="77777777">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0" style="position:absolute;left:0;text-align:left;margin-left:0;margin-top:404.5pt;width:96.55pt;height:72.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spid="_x0000_s1033"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" w14:anchorId="031A6929">
                <v:textbox inset="4mm,1mm,7mm">
                  <w:txbxContent>
                    <w:p w:rsidRPr="006857A9" w:rsidR="002A0300" w:rsidP="002A0300" w:rsidRDefault="002A0300" w14:paraId="44685306" w14:textId="77777777">
                      <w:pPr>
                        <w:ind w:left="-142"/>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rsidRPr="00776340" w:rsidR="002A0300" w:rsidP="002A0300" w:rsidRDefault="002A0300" w14:paraId="7145F1CE" w14:textId="77777777">
                      <w:pPr>
                        <w:rPr>
                          <w:color w:val="000000"/>
                        </w:rPr>
                      </w:pPr>
                    </w:p>
                  </w:txbxContent>
                </v:textbox>
                <w10:wrap type="square" anchorx="page" anchory="margin"/>
              </v:rect>
            </w:pict>
          </mc:Fallback>
        </mc:AlternateContent>
      </w:r>
      <w:r w:rsidRPr="002A0300" w:rsidR="002A0300">
        <w:rPr>
          <w:rFonts w:eastAsia="Calibri" w:asciiTheme="minorBidi" w:hAnsiTheme="minorBidi"/>
          <w:noProof/>
          <w:color w:val="000000"/>
        </w:rPr>
        <w:t>In accordance with the binding element of the investment strategy adopted for promoting the environmental and social characteristics, the minimum proportion of the investments that are aligned with the environmental and / or social characteristics of the Sub-Fund(in terms of ESG rating coverage) should be at least 80% of the portfolio (box #1Aligned with E/S characteristics).</w:t>
      </w:r>
    </w:p>
    <w:p w:rsidRPr="002A0300" w:rsidR="002A0300" w:rsidP="002A0300" w:rsidRDefault="002A0300" w14:paraId="7C0EA0AC" w14:textId="0453EC5F">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The remaining proportion (20% corresponding to the box #2 Other) of the investments (not included in the investments for promoting environmental or social characteristics) should be limited to:</w:t>
      </w:r>
    </w:p>
    <w:p w:rsidRPr="002A0300" w:rsidR="002A0300" w:rsidP="002A0300" w:rsidRDefault="002A0300" w14:paraId="5836E304" w14:textId="4C6DD16C">
      <w:pPr>
        <w:numPr>
          <w:ilvl w:val="0"/>
          <w:numId w:val="3"/>
        </w:numPr>
        <w:spacing w:after="160" w:line="259" w:lineRule="auto"/>
        <w:rPr>
          <w:rFonts w:eastAsia="Calibri" w:asciiTheme="minorBidi" w:hAnsiTheme="minorBidi"/>
          <w:noProof/>
          <w:color w:val="000000"/>
          <w:lang w:val="en-IE"/>
        </w:rPr>
      </w:pPr>
      <w:r w:rsidRPr="002A0300">
        <w:rPr>
          <w:rFonts w:eastAsia="Calibri" w:asciiTheme="minorBidi" w:hAnsiTheme="minorBidi"/>
          <w:noProof/>
          <w:color w:val="000000"/>
          <w:lang w:val="en-IE"/>
        </w:rPr>
        <w:t>cash and cash equivalent instruments which may be held as ancillary liquidity or for risk balancing purposes;</w:t>
      </w:r>
    </w:p>
    <w:p w:rsidRPr="002A0300" w:rsidR="002A0300" w:rsidP="002A0300" w:rsidRDefault="002A0300" w14:paraId="4CAFE619" w14:textId="53EF6FFD">
      <w:pPr>
        <w:numPr>
          <w:ilvl w:val="0"/>
          <w:numId w:val="3"/>
        </w:numPr>
        <w:spacing w:after="160" w:line="259" w:lineRule="auto"/>
        <w:rPr>
          <w:rFonts w:eastAsia="Calibri" w:asciiTheme="minorBidi" w:hAnsiTheme="minorBidi"/>
          <w:noProof/>
          <w:color w:val="000000"/>
          <w:lang w:val="en-IE"/>
        </w:rPr>
      </w:pPr>
      <w:r w:rsidRPr="002A0300">
        <w:rPr>
          <w:rFonts w:eastAsia="Calibri" w:asciiTheme="minorBidi" w:hAnsiTheme="minorBidi"/>
          <w:noProof/>
          <w:color w:val="000000"/>
          <w:lang w:val="en-IE"/>
        </w:rPr>
        <w:t>derivatives which may be held for risk balancing purposes and efficient portfolio management but not for promoting environmental and social characteristic;</w:t>
      </w:r>
    </w:p>
    <w:p w:rsidRPr="002A0300" w:rsidR="002A0300" w:rsidP="002A0300" w:rsidRDefault="002A0300" w14:paraId="131B182A" w14:textId="5439A2AD">
      <w:pPr>
        <w:numPr>
          <w:ilvl w:val="0"/>
          <w:numId w:val="3"/>
        </w:numPr>
        <w:spacing w:after="160" w:line="259" w:lineRule="auto"/>
        <w:rPr>
          <w:rFonts w:eastAsia="Calibri" w:asciiTheme="minorBidi" w:hAnsiTheme="minorBidi"/>
          <w:noProof/>
          <w:color w:val="000000"/>
          <w:lang w:val="en-IE"/>
        </w:rPr>
      </w:pPr>
      <w:r w:rsidRPr="002A0300">
        <w:rPr>
          <w:rFonts w:eastAsia="Calibri" w:asciiTheme="minorBidi" w:hAnsiTheme="minorBidi"/>
          <w:noProof/>
          <w:color w:val="000000"/>
          <w:lang w:val="en-IE"/>
        </w:rPr>
        <w:t>Securities for which data is not available from the ESG data provider in use.</w:t>
      </w:r>
    </w:p>
    <w:p w:rsidRPr="002A0300" w:rsidR="002A0300" w:rsidP="002A0300" w:rsidRDefault="002A0300" w14:paraId="117AB6E3" w14:textId="742C0907">
      <w:pPr>
        <w:spacing w:after="160" w:line="259" w:lineRule="auto"/>
        <w:ind w:left="1353"/>
        <w:rPr>
          <w:rFonts w:eastAsia="SimSun" w:asciiTheme="minorBidi" w:hAnsiTheme="minorBidi"/>
          <w:color w:val="000000"/>
          <w:lang w:val="en-US" w:eastAsia="zh-CN"/>
        </w:rPr>
      </w:pPr>
      <w:r w:rsidRPr="002A0300">
        <w:rPr>
          <w:rFonts w:eastAsia="SimSun" w:asciiTheme="minorBidi" w:hAnsiTheme="minorBidi"/>
          <w:color w:val="000000"/>
          <w:lang w:val="en-US" w:eastAsia="zh-CN"/>
        </w:rPr>
        <w:t xml:space="preserve">The Sub-Fund promotes environmental and/or social </w:t>
      </w:r>
      <w:proofErr w:type="gramStart"/>
      <w:r w:rsidRPr="002A0300">
        <w:rPr>
          <w:rFonts w:eastAsia="SimSun" w:asciiTheme="minorBidi" w:hAnsiTheme="minorBidi"/>
          <w:color w:val="000000"/>
          <w:lang w:val="en-US" w:eastAsia="zh-CN"/>
        </w:rPr>
        <w:t>characteristics</w:t>
      </w:r>
      <w:proofErr w:type="gramEnd"/>
      <w:r w:rsidRPr="002A0300">
        <w:rPr>
          <w:rFonts w:eastAsia="SimSun" w:asciiTheme="minorBidi" w:hAnsiTheme="minorBidi"/>
          <w:color w:val="000000"/>
          <w:lang w:val="en-US" w:eastAsia="zh-CN"/>
        </w:rPr>
        <w:t xml:space="preserve"> but it does not commit itself to </w:t>
      </w:r>
      <w:proofErr w:type="gramStart"/>
      <w:r w:rsidRPr="002A0300">
        <w:rPr>
          <w:rFonts w:eastAsia="SimSun" w:asciiTheme="minorBidi" w:hAnsiTheme="minorBidi"/>
          <w:color w:val="000000"/>
          <w:lang w:val="en-US" w:eastAsia="zh-CN"/>
        </w:rPr>
        <w:t>make</w:t>
      </w:r>
      <w:proofErr w:type="gramEnd"/>
      <w:r w:rsidRPr="002A0300">
        <w:rPr>
          <w:rFonts w:eastAsia="SimSun" w:asciiTheme="minorBidi" w:hAnsiTheme="minorBidi"/>
          <w:color w:val="000000"/>
          <w:lang w:val="en-US" w:eastAsia="zh-CN"/>
        </w:rPr>
        <w:t xml:space="preserve"> sustainable investments within the meaning of art. 2(17) of Regulation (EU) 2019/2088.</w:t>
      </w:r>
    </w:p>
    <w:p w:rsidRPr="002A0300" w:rsidR="002A0300" w:rsidP="002A0300" w:rsidRDefault="002A0300" w14:paraId="2BC6DBB6" w14:textId="3AF8BC9D">
      <w:pPr>
        <w:spacing w:after="160" w:line="259" w:lineRule="auto"/>
        <w:ind w:left="1353"/>
        <w:rPr>
          <w:rFonts w:eastAsia="SimSun" w:asciiTheme="minorBidi" w:hAnsiTheme="minorBidi"/>
          <w:color w:val="000000"/>
          <w:lang w:val="en-US" w:eastAsia="zh-CN"/>
        </w:rPr>
      </w:pPr>
      <w:r w:rsidRPr="002A0300">
        <w:rPr>
          <w:rFonts w:eastAsia="SimSun" w:asciiTheme="minorBidi" w:hAnsiTheme="minorBidi"/>
          <w:color w:val="000000"/>
          <w:lang w:val="en-US" w:eastAsia="zh-CN"/>
        </w:rPr>
        <w:t>The Sub-Fund does not promote the specific environmental objectives set out in Regulation (EU) 2020/852</w:t>
      </w:r>
    </w:p>
    <w:p w:rsidRPr="002A0300" w:rsidR="002A0300" w:rsidP="002A0300" w:rsidRDefault="00391110" w14:paraId="06E7A645" w14:textId="4FCB28CC">
      <w:pPr>
        <w:spacing w:after="160" w:line="259" w:lineRule="auto"/>
        <w:ind w:left="1353"/>
        <w:rPr>
          <w:rFonts w:eastAsia="Calibri" w:asciiTheme="minorBidi" w:hAnsiTheme="minorBidi"/>
          <w:noProof/>
          <w:color w:val="000000"/>
        </w:rPr>
      </w:pPr>
      <w:r w:rsidRPr="002A0300">
        <w:rPr>
          <w:rFonts w:eastAsia="Calibri" w:asciiTheme="minorBidi" w:hAnsiTheme="minorBidi"/>
          <w:noProof/>
          <w:szCs w:val="24"/>
          <w:lang w:eastAsia="zh-CN"/>
        </w:rPr>
        <w:lastRenderedPageBreak/>
        <mc:AlternateContent>
          <mc:Choice Requires="wps">
            <w:drawing>
              <wp:anchor distT="0" distB="0" distL="114300" distR="114300" simplePos="0" relativeHeight="251658241" behindDoc="0" locked="0" layoutInCell="1" allowOverlap="1" wp14:editId="0272906E" wp14:anchorId="20D851D4">
                <wp:simplePos x="0" y="0"/>
                <wp:positionH relativeFrom="page">
                  <wp:posOffset>19050</wp:posOffset>
                </wp:positionH>
                <wp:positionV relativeFrom="page">
                  <wp:posOffset>328930</wp:posOffset>
                </wp:positionV>
                <wp:extent cx="1226185" cy="5038725"/>
                <wp:effectExtent l="0" t="0" r="0" b="9525"/>
                <wp:wrapSquare wrapText="bothSides"/>
                <wp:docPr id="83" name="Rectangle 83"/>
                <wp:cNvGraphicFramePr/>
                <a:graphic xmlns:a="http://schemas.openxmlformats.org/drawingml/2006/main">
                  <a:graphicData uri="http://schemas.microsoft.com/office/word/2010/wordprocessingShape">
                    <wps:wsp>
                      <wps:cNvSpPr/>
                      <wps:spPr>
                        <a:xfrm>
                          <a:off x="0" y="0"/>
                          <a:ext cx="1226185" cy="5038725"/>
                        </a:xfrm>
                        <a:prstGeom prst="rect">
                          <a:avLst/>
                        </a:prstGeom>
                        <a:solidFill>
                          <a:sysClr val="window" lastClr="FFFFFF">
                            <a:lumMod val="95000"/>
                          </a:sysClr>
                        </a:solidFill>
                        <a:ln w="12700" cap="flat" cmpd="sng" algn="ctr">
                          <a:noFill/>
                          <a:prstDash val="solid"/>
                          <a:miter lim="800000"/>
                        </a:ln>
                        <a:effectLst/>
                      </wps:spPr>
                      <wps:txbx>
                        <w:txbxContent>
                          <w:p w:rsidRPr="005A4750" w:rsidR="002A0300" w:rsidP="002A0300" w:rsidRDefault="002A0300" w14:paraId="0E52B890" w14:textId="77777777">
                            <w:pPr>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rsidRPr="00391110" w:rsidR="002A0300" w:rsidP="002A0300" w:rsidRDefault="002A0300" w14:paraId="167F1719" w14:textId="77777777">
                            <w:pPr>
                              <w:pStyle w:val="ListParagraph"/>
                              <w:numPr>
                                <w:ilvl w:val="0"/>
                                <w:numId w:val="1"/>
                              </w:numPr>
                              <w:ind w:left="0" w:right="-272" w:hanging="142"/>
                              <w:jc w:val="left"/>
                              <w:rPr>
                                <w:rFonts w:asciiTheme="minorHAnsi" w:hAnsiTheme="minorHAnsi" w:cstheme="minorHAnsi"/>
                                <w:bCs/>
                                <w:color w:val="000000"/>
                                <w:sz w:val="20"/>
                                <w:szCs w:val="20"/>
                              </w:rPr>
                            </w:pPr>
                            <w:r w:rsidRPr="00391110">
                              <w:rPr>
                                <w:rFonts w:asciiTheme="minorHAnsi" w:hAnsiTheme="minorHAnsi" w:cstheme="minorHAnsi"/>
                                <w:bCs/>
                                <w:color w:val="000000"/>
                                <w:sz w:val="20"/>
                                <w:szCs w:val="20"/>
                              </w:rPr>
                              <w:t xml:space="preserve"> </w:t>
                            </w:r>
                            <w:r w:rsidRPr="00391110">
                              <w:rPr>
                                <w:rFonts w:asciiTheme="minorHAnsi" w:hAnsiTheme="minorHAnsi" w:cstheme="minorHAnsi"/>
                                <w:b/>
                                <w:bCs/>
                                <w:color w:val="000000"/>
                                <w:sz w:val="20"/>
                                <w:szCs w:val="20"/>
                              </w:rPr>
                              <w:t>turnover</w:t>
                            </w:r>
                            <w:r w:rsidRPr="00391110">
                              <w:rPr>
                                <w:rFonts w:asciiTheme="minorHAnsi" w:hAnsiTheme="minorHAnsi" w:cstheme="minorHAnsi"/>
                                <w:bCs/>
                                <w:color w:val="000000"/>
                                <w:sz w:val="20"/>
                                <w:szCs w:val="20"/>
                              </w:rPr>
                              <w:t xml:space="preserve"> reflecting the share of revenue from green activities of investee companies</w:t>
                            </w:r>
                          </w:p>
                          <w:p w:rsidRPr="00391110" w:rsidR="002A0300" w:rsidP="002A0300" w:rsidRDefault="002A0300" w14:paraId="24A5E90F" w14:textId="77777777">
                            <w:pPr>
                              <w:pStyle w:val="ListParagraph"/>
                              <w:numPr>
                                <w:ilvl w:val="0"/>
                                <w:numId w:val="1"/>
                              </w:numPr>
                              <w:ind w:left="0" w:right="-272" w:hanging="142"/>
                              <w:jc w:val="left"/>
                              <w:rPr>
                                <w:rFonts w:asciiTheme="minorHAnsi" w:hAnsiTheme="minorHAnsi" w:cstheme="minorHAnsi"/>
                                <w:bCs/>
                                <w:color w:val="000000"/>
                                <w:sz w:val="20"/>
                                <w:szCs w:val="20"/>
                              </w:rPr>
                            </w:pPr>
                            <w:r w:rsidRPr="00391110">
                              <w:rPr>
                                <w:rFonts w:asciiTheme="minorHAnsi" w:hAnsiTheme="minorHAnsi" w:cstheme="minorHAnsi"/>
                                <w:b/>
                                <w:bCs/>
                                <w:color w:val="000000"/>
                                <w:sz w:val="20"/>
                                <w:szCs w:val="20"/>
                              </w:rPr>
                              <w:t>capital expenditure</w:t>
                            </w:r>
                            <w:r w:rsidRPr="00391110">
                              <w:rPr>
                                <w:rFonts w:asciiTheme="minorHAnsi" w:hAnsiTheme="minorHAnsi" w:cstheme="minorHAnsi"/>
                                <w:bCs/>
                                <w:color w:val="000000"/>
                                <w:sz w:val="20"/>
                                <w:szCs w:val="20"/>
                              </w:rPr>
                              <w:t xml:space="preserve"> (CapEx) showing the green investments made by investee companies, e.g. for a transition to a green economy. </w:t>
                            </w:r>
                          </w:p>
                          <w:p w:rsidRPr="005A4750" w:rsidR="002A0300" w:rsidP="002A0300" w:rsidRDefault="002A0300" w14:paraId="0BEAA929" w14:textId="77777777">
                            <w:pPr>
                              <w:pStyle w:val="ListParagraph"/>
                              <w:numPr>
                                <w:ilvl w:val="0"/>
                                <w:numId w:val="1"/>
                              </w:numPr>
                              <w:ind w:left="0" w:right="-272" w:hanging="142"/>
                              <w:jc w:val="left"/>
                              <w:rPr>
                                <w:rFonts w:asciiTheme="minorHAnsi" w:hAnsiTheme="minorHAnsi" w:cstheme="minorHAnsi"/>
                                <w:color w:val="000000"/>
                              </w:rPr>
                            </w:pPr>
                            <w:r w:rsidRPr="00391110">
                              <w:rPr>
                                <w:rFonts w:asciiTheme="minorHAnsi" w:hAnsiTheme="minorHAnsi" w:cstheme="minorHAnsi"/>
                                <w:b/>
                                <w:bCs/>
                                <w:color w:val="000000"/>
                                <w:sz w:val="20"/>
                                <w:szCs w:val="20"/>
                              </w:rPr>
                              <w:t>operational expenditure</w:t>
                            </w:r>
                            <w:r w:rsidRPr="00391110">
                              <w:rPr>
                                <w:rFonts w:asciiTheme="minorHAnsi" w:hAnsiTheme="minorHAnsi" w:cstheme="minorHAnsi"/>
                                <w:bCs/>
                                <w:color w:val="000000"/>
                                <w:sz w:val="20"/>
                                <w:szCs w:val="20"/>
                              </w:rPr>
                              <w:t xml:space="preserve"> (OpEx) reflecting</w:t>
                            </w:r>
                            <w:r w:rsidRPr="00391110">
                              <w:rPr>
                                <w:rFonts w:asciiTheme="minorHAnsi" w:hAnsiTheme="minorHAnsi" w:cstheme="minorHAnsi"/>
                                <w:color w:val="000000"/>
                                <w:sz w:val="20"/>
                                <w:szCs w:val="20"/>
                              </w:rPr>
                              <w:t xml:space="preserve"> green operational activities o</w:t>
                            </w:r>
                            <w:r w:rsidRPr="00391110">
                              <w:rPr>
                                <w:rFonts w:asciiTheme="minorHAnsi" w:hAnsiTheme="minorHAnsi" w:cstheme="minorHAnsi"/>
                                <w:bCs/>
                                <w:color w:val="000000"/>
                                <w:sz w:val="20"/>
                                <w:szCs w:val="20"/>
                              </w:rPr>
                              <w:t>f investee</w:t>
                            </w:r>
                            <w:r w:rsidRPr="0020068D">
                              <w:rPr>
                                <w:rFonts w:asciiTheme="minorHAnsi" w:hAnsiTheme="minorHAnsi" w:cstheme="minorHAnsi"/>
                                <w:bCs/>
                                <w:color w:val="000000"/>
                              </w:rPr>
                              <w:t xml:space="preserve"> </w:t>
                            </w:r>
                            <w:r w:rsidRPr="00391110">
                              <w:rPr>
                                <w:rFonts w:asciiTheme="minorHAnsi" w:hAnsiTheme="minorHAnsi" w:cstheme="minorHAnsi"/>
                                <w:bCs/>
                                <w:color w:val="000000"/>
                                <w:sz w:val="20"/>
                                <w:szCs w:val="20"/>
                              </w:rPr>
                              <w:t>companies.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style="position:absolute;left:0;text-align:left;margin-left:1.5pt;margin-top:25.9pt;width:96.55pt;height:39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34"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" w14:anchorId="20D851D4">
                <v:textbox inset="4mm,1mm,7mm">
                  <w:txbxContent>
                    <w:p w:rsidRPr="005A4750" w:rsidR="002A0300" w:rsidP="002A0300" w:rsidRDefault="002A0300" w14:paraId="0E52B890" w14:textId="77777777">
                      <w:pPr>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rsidRPr="00391110" w:rsidR="002A0300" w:rsidP="002A0300" w:rsidRDefault="002A0300" w14:paraId="167F1719" w14:textId="77777777">
                      <w:pPr>
                        <w:pStyle w:val="ListParagraph"/>
                        <w:numPr>
                          <w:ilvl w:val="0"/>
                          <w:numId w:val="1"/>
                        </w:numPr>
                        <w:ind w:left="0" w:right="-272" w:hanging="142"/>
                        <w:jc w:val="left"/>
                        <w:rPr>
                          <w:rFonts w:asciiTheme="minorHAnsi" w:hAnsiTheme="minorHAnsi" w:cstheme="minorHAnsi"/>
                          <w:bCs/>
                          <w:color w:val="000000"/>
                          <w:sz w:val="20"/>
                          <w:szCs w:val="20"/>
                        </w:rPr>
                      </w:pPr>
                      <w:r w:rsidRPr="00391110">
                        <w:rPr>
                          <w:rFonts w:asciiTheme="minorHAnsi" w:hAnsiTheme="minorHAnsi" w:cstheme="minorHAnsi"/>
                          <w:bCs/>
                          <w:color w:val="000000"/>
                          <w:sz w:val="20"/>
                          <w:szCs w:val="20"/>
                        </w:rPr>
                        <w:t xml:space="preserve"> </w:t>
                      </w:r>
                      <w:r w:rsidRPr="00391110">
                        <w:rPr>
                          <w:rFonts w:asciiTheme="minorHAnsi" w:hAnsiTheme="minorHAnsi" w:cstheme="minorHAnsi"/>
                          <w:b/>
                          <w:bCs/>
                          <w:color w:val="000000"/>
                          <w:sz w:val="20"/>
                          <w:szCs w:val="20"/>
                        </w:rPr>
                        <w:t>turnover</w:t>
                      </w:r>
                      <w:r w:rsidRPr="00391110">
                        <w:rPr>
                          <w:rFonts w:asciiTheme="minorHAnsi" w:hAnsiTheme="minorHAnsi" w:cstheme="minorHAnsi"/>
                          <w:bCs/>
                          <w:color w:val="000000"/>
                          <w:sz w:val="20"/>
                          <w:szCs w:val="20"/>
                        </w:rPr>
                        <w:t xml:space="preserve"> reflecting the share of revenue from green activities of investee companies</w:t>
                      </w:r>
                    </w:p>
                    <w:p w:rsidRPr="00391110" w:rsidR="002A0300" w:rsidP="002A0300" w:rsidRDefault="002A0300" w14:paraId="24A5E90F" w14:textId="77777777">
                      <w:pPr>
                        <w:pStyle w:val="ListParagraph"/>
                        <w:numPr>
                          <w:ilvl w:val="0"/>
                          <w:numId w:val="1"/>
                        </w:numPr>
                        <w:ind w:left="0" w:right="-272" w:hanging="142"/>
                        <w:jc w:val="left"/>
                        <w:rPr>
                          <w:rFonts w:asciiTheme="minorHAnsi" w:hAnsiTheme="minorHAnsi" w:cstheme="minorHAnsi"/>
                          <w:bCs/>
                          <w:color w:val="000000"/>
                          <w:sz w:val="20"/>
                          <w:szCs w:val="20"/>
                        </w:rPr>
                      </w:pPr>
                      <w:r w:rsidRPr="00391110">
                        <w:rPr>
                          <w:rFonts w:asciiTheme="minorHAnsi" w:hAnsiTheme="minorHAnsi" w:cstheme="minorHAnsi"/>
                          <w:b/>
                          <w:bCs/>
                          <w:color w:val="000000"/>
                          <w:sz w:val="20"/>
                          <w:szCs w:val="20"/>
                        </w:rPr>
                        <w:t>capital expenditure</w:t>
                      </w:r>
                      <w:r w:rsidRPr="00391110">
                        <w:rPr>
                          <w:rFonts w:asciiTheme="minorHAnsi" w:hAnsiTheme="minorHAnsi" w:cstheme="minorHAnsi"/>
                          <w:bCs/>
                          <w:color w:val="000000"/>
                          <w:sz w:val="20"/>
                          <w:szCs w:val="20"/>
                        </w:rPr>
                        <w:t xml:space="preserve"> (CapEx) showing the green investments made by investee companies, e.g. for a transition to a green economy. </w:t>
                      </w:r>
                    </w:p>
                    <w:p w:rsidRPr="005A4750" w:rsidR="002A0300" w:rsidP="002A0300" w:rsidRDefault="002A0300" w14:paraId="0BEAA929" w14:textId="77777777">
                      <w:pPr>
                        <w:pStyle w:val="ListParagraph"/>
                        <w:numPr>
                          <w:ilvl w:val="0"/>
                          <w:numId w:val="1"/>
                        </w:numPr>
                        <w:ind w:left="0" w:right="-272" w:hanging="142"/>
                        <w:jc w:val="left"/>
                        <w:rPr>
                          <w:rFonts w:asciiTheme="minorHAnsi" w:hAnsiTheme="minorHAnsi" w:cstheme="minorHAnsi"/>
                          <w:color w:val="000000"/>
                        </w:rPr>
                      </w:pPr>
                      <w:r w:rsidRPr="00391110">
                        <w:rPr>
                          <w:rFonts w:asciiTheme="minorHAnsi" w:hAnsiTheme="minorHAnsi" w:cstheme="minorHAnsi"/>
                          <w:b/>
                          <w:bCs/>
                          <w:color w:val="000000"/>
                          <w:sz w:val="20"/>
                          <w:szCs w:val="20"/>
                        </w:rPr>
                        <w:t>operational expenditure</w:t>
                      </w:r>
                      <w:r w:rsidRPr="00391110">
                        <w:rPr>
                          <w:rFonts w:asciiTheme="minorHAnsi" w:hAnsiTheme="minorHAnsi" w:cstheme="minorHAnsi"/>
                          <w:bCs/>
                          <w:color w:val="000000"/>
                          <w:sz w:val="20"/>
                          <w:szCs w:val="20"/>
                        </w:rPr>
                        <w:t xml:space="preserve"> (OpEx) reflecting</w:t>
                      </w:r>
                      <w:r w:rsidRPr="00391110">
                        <w:rPr>
                          <w:rFonts w:asciiTheme="minorHAnsi" w:hAnsiTheme="minorHAnsi" w:cstheme="minorHAnsi"/>
                          <w:color w:val="000000"/>
                          <w:sz w:val="20"/>
                          <w:szCs w:val="20"/>
                        </w:rPr>
                        <w:t xml:space="preserve"> green operational activities o</w:t>
                      </w:r>
                      <w:r w:rsidRPr="00391110">
                        <w:rPr>
                          <w:rFonts w:asciiTheme="minorHAnsi" w:hAnsiTheme="minorHAnsi" w:cstheme="minorHAnsi"/>
                          <w:bCs/>
                          <w:color w:val="000000"/>
                          <w:sz w:val="20"/>
                          <w:szCs w:val="20"/>
                        </w:rPr>
                        <w:t>f investee</w:t>
                      </w:r>
                      <w:r w:rsidRPr="0020068D">
                        <w:rPr>
                          <w:rFonts w:asciiTheme="minorHAnsi" w:hAnsiTheme="minorHAnsi" w:cstheme="minorHAnsi"/>
                          <w:bCs/>
                          <w:color w:val="000000"/>
                        </w:rPr>
                        <w:t xml:space="preserve"> </w:t>
                      </w:r>
                      <w:r w:rsidRPr="00391110">
                        <w:rPr>
                          <w:rFonts w:asciiTheme="minorHAnsi" w:hAnsiTheme="minorHAnsi" w:cstheme="minorHAnsi"/>
                          <w:bCs/>
                          <w:color w:val="000000"/>
                          <w:sz w:val="20"/>
                          <w:szCs w:val="20"/>
                        </w:rPr>
                        <w:t>companies.</w:t>
                      </w:r>
                    </w:p>
                  </w:txbxContent>
                </v:textbox>
                <w10:wrap type="square" anchorx="page" anchory="page"/>
              </v:rect>
            </w:pict>
          </mc:Fallback>
        </mc:AlternateContent>
      </w:r>
      <w:r w:rsidRPr="002A0300" w:rsidR="002A0300">
        <w:rPr>
          <w:rFonts w:ascii="Calibri" w:hAnsi="Calibri" w:eastAsia="Calibri" w:cs="Times New Roman"/>
          <w:noProof/>
          <w:sz w:val="18"/>
          <w:szCs w:val="18"/>
          <w:lang w:eastAsia="zh-CN"/>
        </w:rPr>
        <mc:AlternateContent>
          <mc:Choice Requires="wps">
            <w:drawing>
              <wp:anchor distT="0" distB="0" distL="114300" distR="114300" simplePos="0" relativeHeight="251658303" behindDoc="0" locked="0" layoutInCell="1" allowOverlap="1" wp14:editId="0810B738" wp14:anchorId="051F41DA">
                <wp:simplePos x="0" y="0"/>
                <wp:positionH relativeFrom="margin">
                  <wp:posOffset>170815</wp:posOffset>
                </wp:positionH>
                <wp:positionV relativeFrom="margin">
                  <wp:posOffset>466725</wp:posOffset>
                </wp:positionV>
                <wp:extent cx="5117465" cy="3317875"/>
                <wp:effectExtent l="0" t="0" r="6985" b="0"/>
                <wp:wrapSquare wrapText="bothSides"/>
                <wp:docPr id="198" name="Rectangle 198"/>
                <wp:cNvGraphicFramePr/>
                <a:graphic xmlns:a="http://schemas.openxmlformats.org/drawingml/2006/main">
                  <a:graphicData uri="http://schemas.microsoft.com/office/word/2010/wordprocessingShape">
                    <wps:wsp>
                      <wps:cNvSpPr/>
                      <wps:spPr>
                        <a:xfrm>
                          <a:off x="0" y="0"/>
                          <a:ext cx="5117465" cy="3317875"/>
                        </a:xfrm>
                        <a:prstGeom prst="rect">
                          <a:avLst/>
                        </a:prstGeom>
                        <a:solidFill>
                          <a:srgbClr val="EA933B">
                            <a:lumMod val="20000"/>
                            <a:lumOff val="80000"/>
                          </a:srgbClr>
                        </a:solidFill>
                        <a:ln w="12700" cap="flat" cmpd="sng" algn="ctr">
                          <a:noFill/>
                          <a:prstDash val="solid"/>
                          <a:miter lim="800000"/>
                        </a:ln>
                        <a:effectLst/>
                      </wps:spPr>
                      <wps:txbx>
                        <w:txbxContent>
                          <w:p w:rsidRPr="00632BFC" w:rsidR="002A0300" w:rsidP="002A0300" w:rsidRDefault="002A0300" w14:paraId="235A69DE" w14:textId="77777777">
                            <w:pPr>
                              <w:jc w:val="center"/>
                            </w:pPr>
                            <w:r>
                              <w:rPr>
                                <w:noProof/>
                              </w:rPr>
                              <w:drawing>
                                <wp:inline distT="0" distB="0" distL="0" distR="0" wp14:anchorId="0F11CA9C" wp14:editId="38968A01">
                                  <wp:extent cx="4517390" cy="1177290"/>
                                  <wp:effectExtent l="0" t="0" r="0" b="4191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2A0300" w:rsidP="002A0300" w:rsidRDefault="002A0300" w14:paraId="5E9C3134" w14:textId="77777777">
                            <w:pPr>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rsidRPr="00B434C2" w:rsidR="002A0300" w:rsidP="002A0300" w:rsidRDefault="002A0300" w14:paraId="291883A4" w14:textId="77777777">
                            <w:pPr>
                              <w:rPr>
                                <w:rFonts w:asciiTheme="minorHAnsi" w:hAnsiTheme="minorHAnsi" w:cstheme="minorHAnsi"/>
                                <w:color w:val="000000"/>
                                <w:sz w:val="8"/>
                                <w:szCs w:val="8"/>
                              </w:rPr>
                            </w:pPr>
                          </w:p>
                          <w:p w:rsidR="002A0300" w:rsidP="002A0300" w:rsidRDefault="002A0300" w14:paraId="2C7EE5B3" w14:textId="77777777">
                            <w:pPr>
                              <w:rPr>
                                <w:rFonts w:asciiTheme="minorHAnsi" w:hAnsiTheme="minorHAnsi" w:cstheme="minorHAnsi"/>
                                <w:bCs/>
                                <w:color w:val="000000"/>
                                <w:sz w:val="18"/>
                              </w:rPr>
                            </w:pPr>
                            <w:r w:rsidRPr="00674608">
                              <w:rPr>
                                <w:rFonts w:asciiTheme="minorHAnsi" w:hAnsiTheme="minorHAnsi" w:cstheme="minorHAnsi"/>
                                <w:b/>
                                <w:bCs/>
                                <w:color w:val="000000"/>
                                <w:sz w:val="18"/>
                              </w:rPr>
                              <w:t>#2</w:t>
                            </w:r>
                            <w:r>
                              <w:rPr>
                                <w:rFonts w:asciiTheme="minorHAnsi" w:hAnsiTheme="minorHAnsi" w:cstheme="minorHAnsi"/>
                                <w:b/>
                                <w:bCs/>
                                <w:color w:val="000000"/>
                                <w:sz w:val="18"/>
                              </w:rPr>
                              <w:t xml:space="preserve"> </w:t>
                            </w:r>
                            <w:r w:rsidRPr="00674608">
                              <w:rPr>
                                <w:rFonts w:asciiTheme="minorHAnsi" w:hAnsiTheme="minorHAnsi" w:cstheme="minorHAnsi"/>
                                <w:b/>
                                <w:bCs/>
                                <w:color w:val="000000"/>
                                <w:sz w:val="18"/>
                              </w:rPr>
                              <w:t xml:space="preserve">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rsidRPr="00B434C2" w:rsidR="002A0300" w:rsidP="002A0300" w:rsidRDefault="002A0300" w14:paraId="1B3EC392" w14:textId="77777777">
                            <w:pPr>
                              <w:rPr>
                                <w:rFonts w:asciiTheme="minorHAnsi" w:hAnsiTheme="minorHAnsi" w:cstheme="minorHAnsi"/>
                                <w:bCs/>
                                <w:color w:val="000000"/>
                                <w:sz w:val="8"/>
                                <w:szCs w:val="8"/>
                              </w:rPr>
                            </w:pPr>
                          </w:p>
                          <w:p w:rsidRPr="00674608" w:rsidR="002A0300" w:rsidP="002A0300" w:rsidRDefault="002A0300" w14:paraId="51E16CB6" w14:textId="77777777">
                            <w:pPr>
                              <w:rPr>
                                <w:rFonts w:asciiTheme="minorHAnsi" w:hAnsiTheme="minorHAnsi" w:cstheme="minorHAnsi"/>
                                <w:bCs/>
                                <w:sz w:val="18"/>
                              </w:rPr>
                            </w:pPr>
                            <w:r w:rsidRPr="00674608">
                              <w:rPr>
                                <w:rFonts w:asciiTheme="minorHAnsi" w:hAnsiTheme="minorHAnsi" w:cstheme="minorHAnsi"/>
                                <w:sz w:val="18"/>
                              </w:rPr>
                              <w:t xml:space="preserve">The category </w:t>
                            </w:r>
                            <w:r w:rsidRPr="00674608">
                              <w:rPr>
                                <w:rFonts w:asciiTheme="minorHAnsi" w:hAnsiTheme="minorHAnsi" w:cstheme="minorHAnsi"/>
                                <w:b/>
                                <w:bCs/>
                                <w:sz w:val="18"/>
                              </w:rPr>
                              <w:t>#1 Aligned with E/S</w:t>
                            </w:r>
                            <w:r w:rsidRPr="00674608">
                              <w:rPr>
                                <w:rFonts w:asciiTheme="minorHAnsi" w:hAnsiTheme="minorHAnsi" w:cstheme="minorHAnsi"/>
                                <w:sz w:val="18"/>
                              </w:rPr>
                              <w:t xml:space="preserve"> </w:t>
                            </w:r>
                            <w:r w:rsidRPr="00674608">
                              <w:rPr>
                                <w:rFonts w:asciiTheme="minorHAnsi" w:hAnsiTheme="minorHAnsi" w:cstheme="minorHAnsi"/>
                                <w:b/>
                                <w:bCs/>
                                <w:sz w:val="18"/>
                              </w:rPr>
                              <w:t xml:space="preserve">characteristics </w:t>
                            </w:r>
                            <w:r w:rsidRPr="00674608">
                              <w:rPr>
                                <w:rFonts w:asciiTheme="minorHAnsi" w:hAnsiTheme="minorHAnsi" w:cstheme="minorHAnsi"/>
                                <w:bCs/>
                                <w:sz w:val="18"/>
                              </w:rPr>
                              <w:t>covers:</w:t>
                            </w:r>
                          </w:p>
                          <w:p w:rsidRPr="00674608" w:rsidR="002A0300" w:rsidP="002A0300" w:rsidRDefault="002A0300" w14:paraId="5014768E" w14:textId="77777777">
                            <w:pPr>
                              <w:rPr>
                                <w:rFonts w:asciiTheme="minorHAnsi" w:hAnsiTheme="minorHAnsi" w:cstheme="minorHAnsi"/>
                                <w:sz w:val="18"/>
                              </w:rPr>
                            </w:pPr>
                            <w:r w:rsidRPr="00674608">
                              <w:rPr>
                                <w:rFonts w:asciiTheme="minorHAnsi" w:hAnsiTheme="minorHAnsi" w:cstheme="minorHAnsi"/>
                                <w:sz w:val="18"/>
                              </w:rPr>
                              <w:t xml:space="preserve">- </w:t>
                            </w:r>
                            <w:r w:rsidRPr="00257BE6">
                              <w:rPr>
                                <w:rFonts w:asciiTheme="minorHAnsi" w:hAnsiTheme="minorHAnsi" w:cstheme="minorHAnsi"/>
                                <w:sz w:val="18"/>
                              </w:rPr>
                              <w:t>The su</w:t>
                            </w:r>
                            <w:r w:rsidRPr="00674608">
                              <w:rPr>
                                <w:rFonts w:asciiTheme="minorHAnsi" w:hAnsiTheme="minorHAnsi" w:cstheme="minorHAnsi"/>
                                <w:sz w:val="18"/>
                              </w:rPr>
                              <w:t>b</w:t>
                            </w:r>
                            <w:r>
                              <w:rPr>
                                <w:rFonts w:asciiTheme="minorHAnsi" w:hAnsiTheme="minorHAnsi" w:cstheme="minorHAnsi"/>
                                <w:sz w:val="18"/>
                              </w:rPr>
                              <w:t>-</w:t>
                            </w:r>
                            <w:r w:rsidRPr="00674608">
                              <w:rPr>
                                <w:rFonts w:asciiTheme="minorHAnsi" w:hAnsiTheme="minorHAnsi" w:cstheme="minorHAnsi"/>
                                <w:sz w:val="18"/>
                              </w:rPr>
                              <w:t xml:space="preserve">category </w:t>
                            </w:r>
                            <w:r w:rsidRPr="00674608">
                              <w:rPr>
                                <w:rFonts w:asciiTheme="minorHAnsi" w:hAnsiTheme="minorHAnsi" w:cstheme="minorHAnsi"/>
                                <w:b/>
                                <w:bCs/>
                                <w:sz w:val="18"/>
                              </w:rPr>
                              <w:t>#1A</w:t>
                            </w:r>
                            <w:r w:rsidRPr="00674608">
                              <w:rPr>
                                <w:rFonts w:asciiTheme="minorHAnsi" w:hAnsiTheme="minorHAnsi" w:cstheme="minorHAnsi"/>
                                <w:sz w:val="18"/>
                              </w:rPr>
                              <w:t xml:space="preserve"> </w:t>
                            </w:r>
                            <w:r w:rsidRPr="00674608">
                              <w:rPr>
                                <w:rFonts w:asciiTheme="minorHAnsi" w:hAnsiTheme="minorHAnsi" w:cstheme="minorHAnsi"/>
                                <w:b/>
                                <w:bCs/>
                                <w:sz w:val="18"/>
                              </w:rPr>
                              <w:t>Sustainable</w:t>
                            </w:r>
                            <w:r w:rsidRPr="00674608">
                              <w:rPr>
                                <w:rFonts w:asciiTheme="minorHAnsi" w:hAnsiTheme="minorHAnsi" w:cstheme="minorHAnsi"/>
                                <w:sz w:val="18"/>
                              </w:rPr>
                              <w:t xml:space="preserve"> </w:t>
                            </w:r>
                            <w:r w:rsidRPr="002376C8">
                              <w:rPr>
                                <w:rFonts w:asciiTheme="minorHAnsi" w:hAnsiTheme="minorHAnsi" w:cstheme="minorHAnsi"/>
                                <w:color w:val="000000"/>
                                <w:sz w:val="18"/>
                              </w:rPr>
                              <w:t xml:space="preserve">covers </w:t>
                            </w:r>
                            <w:r>
                              <w:rPr>
                                <w:rFonts w:asciiTheme="minorHAnsi" w:hAnsiTheme="minorHAnsi" w:cstheme="minorHAnsi"/>
                                <w:color w:val="000000"/>
                                <w:sz w:val="18"/>
                              </w:rPr>
                              <w:t xml:space="preserve">sustainable investments with </w:t>
                            </w:r>
                            <w:r w:rsidRPr="002376C8">
                              <w:rPr>
                                <w:rFonts w:asciiTheme="minorHAnsi" w:hAnsiTheme="minorHAnsi" w:cstheme="minorHAnsi"/>
                                <w:color w:val="000000"/>
                                <w:sz w:val="18"/>
                              </w:rPr>
                              <w:t>environmental</w:t>
                            </w:r>
                            <w:r>
                              <w:rPr>
                                <w:rFonts w:asciiTheme="minorHAnsi" w:hAnsiTheme="minorHAnsi" w:cstheme="minorHAnsi"/>
                                <w:color w:val="000000"/>
                                <w:sz w:val="18"/>
                              </w:rPr>
                              <w:t xml:space="preserve"> or social objectives</w:t>
                            </w:r>
                            <w:r w:rsidRPr="002376C8">
                              <w:rPr>
                                <w:rFonts w:asciiTheme="minorHAnsi" w:hAnsiTheme="minorHAnsi" w:cstheme="minorHAnsi"/>
                                <w:color w:val="000000"/>
                                <w:sz w:val="18"/>
                              </w:rPr>
                              <w:t>.</w:t>
                            </w:r>
                            <w:r>
                              <w:rPr>
                                <w:rFonts w:asciiTheme="minorHAnsi" w:hAnsiTheme="minorHAnsi" w:cstheme="minorHAnsi"/>
                                <w:color w:val="000000"/>
                                <w:sz w:val="18"/>
                              </w:rPr>
                              <w:t xml:space="preserve"> </w:t>
                            </w:r>
                          </w:p>
                          <w:p w:rsidRPr="00674608" w:rsidR="002A0300" w:rsidP="002A0300" w:rsidRDefault="002A0300" w14:paraId="3C1509C4" w14:textId="77777777">
                            <w:pPr>
                              <w:rPr>
                                <w:rFonts w:asciiTheme="minorHAnsi" w:hAnsiTheme="minorHAnsi" w:cstheme="minorHAnsi"/>
                              </w:rPr>
                            </w:pPr>
                            <w:r w:rsidRPr="00674608">
                              <w:rPr>
                                <w:rFonts w:asciiTheme="minorHAnsi" w:hAnsiTheme="minorHAnsi" w:cstheme="minorHAnsi"/>
                                <w:sz w:val="18"/>
                              </w:rPr>
                              <w:t xml:space="preserve">- The sub-category </w:t>
                            </w:r>
                            <w:r w:rsidRPr="00674608">
                              <w:rPr>
                                <w:rFonts w:asciiTheme="minorHAnsi" w:hAnsiTheme="minorHAnsi" w:cstheme="minorHAnsi"/>
                                <w:b/>
                                <w:sz w:val="18"/>
                              </w:rPr>
                              <w:t>#1B</w:t>
                            </w:r>
                            <w:r w:rsidRPr="00674608">
                              <w:rPr>
                                <w:rFonts w:asciiTheme="minorHAnsi" w:hAnsiTheme="minorHAnsi" w:cstheme="minorHAnsi"/>
                                <w:sz w:val="18"/>
                              </w:rPr>
                              <w:t xml:space="preserve"> </w:t>
                            </w:r>
                            <w:r w:rsidRPr="00674608">
                              <w:rPr>
                                <w:rFonts w:asciiTheme="minorHAnsi" w:hAnsiTheme="minorHAnsi" w:cstheme="minorHAnsi"/>
                                <w:b/>
                                <w:bCs/>
                                <w:sz w:val="18"/>
                              </w:rPr>
                              <w:t>Other E/S characteristics</w:t>
                            </w:r>
                            <w:r w:rsidRPr="00674608">
                              <w:rPr>
                                <w:rFonts w:asciiTheme="minorHAnsi" w:hAnsiTheme="minorHAnsi" w:cstheme="minorHAnsi"/>
                                <w:sz w:val="16"/>
                              </w:rPr>
                              <w:t xml:space="preserve"> </w:t>
                            </w:r>
                            <w:r w:rsidRPr="00674608">
                              <w:rPr>
                                <w:rFonts w:asciiTheme="minorHAnsi" w:hAnsiTheme="minorHAnsi" w:cstheme="minorHAnsi"/>
                                <w:sz w:val="18"/>
                              </w:rPr>
                              <w:t>covers investments al</w:t>
                            </w:r>
                            <w:r>
                              <w:rPr>
                                <w:rFonts w:asciiTheme="minorHAnsi" w:hAnsiTheme="minorHAnsi" w:cstheme="minorHAnsi"/>
                                <w:sz w:val="18"/>
                              </w:rPr>
                              <w:t xml:space="preserve">igned with the environmental or </w:t>
                            </w:r>
                            <w:r w:rsidRPr="00674608">
                              <w:rPr>
                                <w:rFonts w:asciiTheme="minorHAnsi" w:hAnsiTheme="minorHAnsi" w:cstheme="minorHAnsi"/>
                                <w:sz w:val="18"/>
                              </w:rPr>
                              <w:t>social characteristics that do not qualify as sustainable investments</w:t>
                            </w:r>
                            <w:r>
                              <w:rPr>
                                <w:rFonts w:asciiTheme="minorHAnsi" w:hAnsiTheme="minorHAnsi" w:cstheme="minorHAnsi"/>
                                <w:sz w:val="18"/>
                              </w:rPr>
                              <w:t>.</w:t>
                            </w:r>
                          </w:p>
                          <w:p w:rsidR="002A0300" w:rsidP="002A0300" w:rsidRDefault="002A0300" w14:paraId="0E24786D" w14:textId="77777777">
                            <w:pPr>
                              <w:jc w:val="center"/>
                            </w:pPr>
                          </w:p>
                          <w:p w:rsidR="002A0300" w:rsidP="002A0300" w:rsidRDefault="002A0300" w14:paraId="282CA75F" w14:textId="77777777">
                            <w:pPr>
                              <w:jc w:val="center"/>
                            </w:pPr>
                          </w:p>
                          <w:p w:rsidRPr="000D37D3" w:rsidR="002A0300" w:rsidP="002A0300" w:rsidRDefault="002A0300" w14:paraId="541D9CB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8" style="position:absolute;left:0;text-align:left;margin-left:13.45pt;margin-top:36.75pt;width:402.95pt;height:261.2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35" fillcolor="#fbe9d8"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" w14:anchorId="051F41DA">
                <v:textbox>
                  <w:txbxContent>
                    <w:p w:rsidRPr="00632BFC" w:rsidR="002A0300" w:rsidP="002A0300" w:rsidRDefault="002A0300" w14:paraId="235A69DE" w14:textId="77777777">
                      <w:pPr>
                        <w:jc w:val="center"/>
                      </w:pPr>
                      <w:r>
                        <w:rPr>
                          <w:noProof/>
                        </w:rPr>
                        <w:drawing>
                          <wp:inline distT="0" distB="0" distL="0" distR="0" wp14:anchorId="0F11CA9C" wp14:editId="38968A01">
                            <wp:extent cx="4517390" cy="1177290"/>
                            <wp:effectExtent l="0" t="0" r="0" b="4191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2A0300" w:rsidP="002A0300" w:rsidRDefault="002A0300" w14:paraId="5E9C3134" w14:textId="77777777">
                      <w:pPr>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rsidRPr="00B434C2" w:rsidR="002A0300" w:rsidP="002A0300" w:rsidRDefault="002A0300" w14:paraId="291883A4" w14:textId="77777777">
                      <w:pPr>
                        <w:rPr>
                          <w:rFonts w:asciiTheme="minorHAnsi" w:hAnsiTheme="minorHAnsi" w:cstheme="minorHAnsi"/>
                          <w:color w:val="000000"/>
                          <w:sz w:val="8"/>
                          <w:szCs w:val="8"/>
                        </w:rPr>
                      </w:pPr>
                    </w:p>
                    <w:p w:rsidR="002A0300" w:rsidP="002A0300" w:rsidRDefault="002A0300" w14:paraId="2C7EE5B3" w14:textId="77777777">
                      <w:pPr>
                        <w:rPr>
                          <w:rFonts w:asciiTheme="minorHAnsi" w:hAnsiTheme="minorHAnsi" w:cstheme="minorHAnsi"/>
                          <w:bCs/>
                          <w:color w:val="000000"/>
                          <w:sz w:val="18"/>
                        </w:rPr>
                      </w:pPr>
                      <w:r w:rsidRPr="00674608">
                        <w:rPr>
                          <w:rFonts w:asciiTheme="minorHAnsi" w:hAnsiTheme="minorHAnsi" w:cstheme="minorHAnsi"/>
                          <w:b/>
                          <w:bCs/>
                          <w:color w:val="000000"/>
                          <w:sz w:val="18"/>
                        </w:rPr>
                        <w:t>#2</w:t>
                      </w:r>
                      <w:r>
                        <w:rPr>
                          <w:rFonts w:asciiTheme="minorHAnsi" w:hAnsiTheme="minorHAnsi" w:cstheme="minorHAnsi"/>
                          <w:b/>
                          <w:bCs/>
                          <w:color w:val="000000"/>
                          <w:sz w:val="18"/>
                        </w:rPr>
                        <w:t xml:space="preserve"> </w:t>
                      </w:r>
                      <w:r w:rsidRPr="00674608">
                        <w:rPr>
                          <w:rFonts w:asciiTheme="minorHAnsi" w:hAnsiTheme="minorHAnsi" w:cstheme="minorHAnsi"/>
                          <w:b/>
                          <w:bCs/>
                          <w:color w:val="000000"/>
                          <w:sz w:val="18"/>
                        </w:rPr>
                        <w:t xml:space="preserve">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rsidRPr="00B434C2" w:rsidR="002A0300" w:rsidP="002A0300" w:rsidRDefault="002A0300" w14:paraId="1B3EC392" w14:textId="77777777">
                      <w:pPr>
                        <w:rPr>
                          <w:rFonts w:asciiTheme="minorHAnsi" w:hAnsiTheme="minorHAnsi" w:cstheme="minorHAnsi"/>
                          <w:bCs/>
                          <w:color w:val="000000"/>
                          <w:sz w:val="8"/>
                          <w:szCs w:val="8"/>
                        </w:rPr>
                      </w:pPr>
                    </w:p>
                    <w:p w:rsidRPr="00674608" w:rsidR="002A0300" w:rsidP="002A0300" w:rsidRDefault="002A0300" w14:paraId="51E16CB6" w14:textId="77777777">
                      <w:pPr>
                        <w:rPr>
                          <w:rFonts w:asciiTheme="minorHAnsi" w:hAnsiTheme="minorHAnsi" w:cstheme="minorHAnsi"/>
                          <w:bCs/>
                          <w:sz w:val="18"/>
                        </w:rPr>
                      </w:pPr>
                      <w:r w:rsidRPr="00674608">
                        <w:rPr>
                          <w:rFonts w:asciiTheme="minorHAnsi" w:hAnsiTheme="minorHAnsi" w:cstheme="minorHAnsi"/>
                          <w:sz w:val="18"/>
                        </w:rPr>
                        <w:t xml:space="preserve">The category </w:t>
                      </w:r>
                      <w:r w:rsidRPr="00674608">
                        <w:rPr>
                          <w:rFonts w:asciiTheme="minorHAnsi" w:hAnsiTheme="minorHAnsi" w:cstheme="minorHAnsi"/>
                          <w:b/>
                          <w:bCs/>
                          <w:sz w:val="18"/>
                        </w:rPr>
                        <w:t>#1 Aligned with E/S</w:t>
                      </w:r>
                      <w:r w:rsidRPr="00674608">
                        <w:rPr>
                          <w:rFonts w:asciiTheme="minorHAnsi" w:hAnsiTheme="minorHAnsi" w:cstheme="minorHAnsi"/>
                          <w:sz w:val="18"/>
                        </w:rPr>
                        <w:t xml:space="preserve"> </w:t>
                      </w:r>
                      <w:r w:rsidRPr="00674608">
                        <w:rPr>
                          <w:rFonts w:asciiTheme="minorHAnsi" w:hAnsiTheme="minorHAnsi" w:cstheme="minorHAnsi"/>
                          <w:b/>
                          <w:bCs/>
                          <w:sz w:val="18"/>
                        </w:rPr>
                        <w:t xml:space="preserve">characteristics </w:t>
                      </w:r>
                      <w:r w:rsidRPr="00674608">
                        <w:rPr>
                          <w:rFonts w:asciiTheme="minorHAnsi" w:hAnsiTheme="minorHAnsi" w:cstheme="minorHAnsi"/>
                          <w:bCs/>
                          <w:sz w:val="18"/>
                        </w:rPr>
                        <w:t>covers:</w:t>
                      </w:r>
                    </w:p>
                    <w:p w:rsidRPr="00674608" w:rsidR="002A0300" w:rsidP="002A0300" w:rsidRDefault="002A0300" w14:paraId="5014768E" w14:textId="77777777">
                      <w:pPr>
                        <w:rPr>
                          <w:rFonts w:asciiTheme="minorHAnsi" w:hAnsiTheme="minorHAnsi" w:cstheme="minorHAnsi"/>
                          <w:sz w:val="18"/>
                        </w:rPr>
                      </w:pPr>
                      <w:r w:rsidRPr="00674608">
                        <w:rPr>
                          <w:rFonts w:asciiTheme="minorHAnsi" w:hAnsiTheme="minorHAnsi" w:cstheme="minorHAnsi"/>
                          <w:sz w:val="18"/>
                        </w:rPr>
                        <w:t xml:space="preserve">- </w:t>
                      </w:r>
                      <w:r w:rsidRPr="00257BE6">
                        <w:rPr>
                          <w:rFonts w:asciiTheme="minorHAnsi" w:hAnsiTheme="minorHAnsi" w:cstheme="minorHAnsi"/>
                          <w:sz w:val="18"/>
                        </w:rPr>
                        <w:t>The su</w:t>
                      </w:r>
                      <w:r w:rsidRPr="00674608">
                        <w:rPr>
                          <w:rFonts w:asciiTheme="minorHAnsi" w:hAnsiTheme="minorHAnsi" w:cstheme="minorHAnsi"/>
                          <w:sz w:val="18"/>
                        </w:rPr>
                        <w:t>b</w:t>
                      </w:r>
                      <w:r>
                        <w:rPr>
                          <w:rFonts w:asciiTheme="minorHAnsi" w:hAnsiTheme="minorHAnsi" w:cstheme="minorHAnsi"/>
                          <w:sz w:val="18"/>
                        </w:rPr>
                        <w:t>-</w:t>
                      </w:r>
                      <w:r w:rsidRPr="00674608">
                        <w:rPr>
                          <w:rFonts w:asciiTheme="minorHAnsi" w:hAnsiTheme="minorHAnsi" w:cstheme="minorHAnsi"/>
                          <w:sz w:val="18"/>
                        </w:rPr>
                        <w:t xml:space="preserve">category </w:t>
                      </w:r>
                      <w:r w:rsidRPr="00674608">
                        <w:rPr>
                          <w:rFonts w:asciiTheme="minorHAnsi" w:hAnsiTheme="minorHAnsi" w:cstheme="minorHAnsi"/>
                          <w:b/>
                          <w:bCs/>
                          <w:sz w:val="18"/>
                        </w:rPr>
                        <w:t>#1A</w:t>
                      </w:r>
                      <w:r w:rsidRPr="00674608">
                        <w:rPr>
                          <w:rFonts w:asciiTheme="minorHAnsi" w:hAnsiTheme="minorHAnsi" w:cstheme="minorHAnsi"/>
                          <w:sz w:val="18"/>
                        </w:rPr>
                        <w:t xml:space="preserve"> </w:t>
                      </w:r>
                      <w:r w:rsidRPr="00674608">
                        <w:rPr>
                          <w:rFonts w:asciiTheme="minorHAnsi" w:hAnsiTheme="minorHAnsi" w:cstheme="minorHAnsi"/>
                          <w:b/>
                          <w:bCs/>
                          <w:sz w:val="18"/>
                        </w:rPr>
                        <w:t>Sustainable</w:t>
                      </w:r>
                      <w:r w:rsidRPr="00674608">
                        <w:rPr>
                          <w:rFonts w:asciiTheme="minorHAnsi" w:hAnsiTheme="minorHAnsi" w:cstheme="minorHAnsi"/>
                          <w:sz w:val="18"/>
                        </w:rPr>
                        <w:t xml:space="preserve"> </w:t>
                      </w:r>
                      <w:r w:rsidRPr="002376C8">
                        <w:rPr>
                          <w:rFonts w:asciiTheme="minorHAnsi" w:hAnsiTheme="minorHAnsi" w:cstheme="minorHAnsi"/>
                          <w:color w:val="000000"/>
                          <w:sz w:val="18"/>
                        </w:rPr>
                        <w:t xml:space="preserve">covers </w:t>
                      </w:r>
                      <w:r>
                        <w:rPr>
                          <w:rFonts w:asciiTheme="minorHAnsi" w:hAnsiTheme="minorHAnsi" w:cstheme="minorHAnsi"/>
                          <w:color w:val="000000"/>
                          <w:sz w:val="18"/>
                        </w:rPr>
                        <w:t xml:space="preserve">sustainable investments with </w:t>
                      </w:r>
                      <w:r w:rsidRPr="002376C8">
                        <w:rPr>
                          <w:rFonts w:asciiTheme="minorHAnsi" w:hAnsiTheme="minorHAnsi" w:cstheme="minorHAnsi"/>
                          <w:color w:val="000000"/>
                          <w:sz w:val="18"/>
                        </w:rPr>
                        <w:t>environmental</w:t>
                      </w:r>
                      <w:r>
                        <w:rPr>
                          <w:rFonts w:asciiTheme="minorHAnsi" w:hAnsiTheme="minorHAnsi" w:cstheme="minorHAnsi"/>
                          <w:color w:val="000000"/>
                          <w:sz w:val="18"/>
                        </w:rPr>
                        <w:t xml:space="preserve"> or social objectives</w:t>
                      </w:r>
                      <w:r w:rsidRPr="002376C8">
                        <w:rPr>
                          <w:rFonts w:asciiTheme="minorHAnsi" w:hAnsiTheme="minorHAnsi" w:cstheme="minorHAnsi"/>
                          <w:color w:val="000000"/>
                          <w:sz w:val="18"/>
                        </w:rPr>
                        <w:t>.</w:t>
                      </w:r>
                      <w:r>
                        <w:rPr>
                          <w:rFonts w:asciiTheme="minorHAnsi" w:hAnsiTheme="minorHAnsi" w:cstheme="minorHAnsi"/>
                          <w:color w:val="000000"/>
                          <w:sz w:val="18"/>
                        </w:rPr>
                        <w:t xml:space="preserve"> </w:t>
                      </w:r>
                    </w:p>
                    <w:p w:rsidRPr="00674608" w:rsidR="002A0300" w:rsidP="002A0300" w:rsidRDefault="002A0300" w14:paraId="3C1509C4" w14:textId="77777777">
                      <w:pPr>
                        <w:rPr>
                          <w:rFonts w:asciiTheme="minorHAnsi" w:hAnsiTheme="minorHAnsi" w:cstheme="minorHAnsi"/>
                        </w:rPr>
                      </w:pPr>
                      <w:r w:rsidRPr="00674608">
                        <w:rPr>
                          <w:rFonts w:asciiTheme="minorHAnsi" w:hAnsiTheme="minorHAnsi" w:cstheme="minorHAnsi"/>
                          <w:sz w:val="18"/>
                        </w:rPr>
                        <w:t xml:space="preserve">- The sub-category </w:t>
                      </w:r>
                      <w:r w:rsidRPr="00674608">
                        <w:rPr>
                          <w:rFonts w:asciiTheme="minorHAnsi" w:hAnsiTheme="minorHAnsi" w:cstheme="minorHAnsi"/>
                          <w:b/>
                          <w:sz w:val="18"/>
                        </w:rPr>
                        <w:t>#1B</w:t>
                      </w:r>
                      <w:r w:rsidRPr="00674608">
                        <w:rPr>
                          <w:rFonts w:asciiTheme="minorHAnsi" w:hAnsiTheme="minorHAnsi" w:cstheme="minorHAnsi"/>
                          <w:sz w:val="18"/>
                        </w:rPr>
                        <w:t xml:space="preserve"> </w:t>
                      </w:r>
                      <w:r w:rsidRPr="00674608">
                        <w:rPr>
                          <w:rFonts w:asciiTheme="minorHAnsi" w:hAnsiTheme="minorHAnsi" w:cstheme="minorHAnsi"/>
                          <w:b/>
                          <w:bCs/>
                          <w:sz w:val="18"/>
                        </w:rPr>
                        <w:t>Other E/S characteristics</w:t>
                      </w:r>
                      <w:r w:rsidRPr="00674608">
                        <w:rPr>
                          <w:rFonts w:asciiTheme="minorHAnsi" w:hAnsiTheme="minorHAnsi" w:cstheme="minorHAnsi"/>
                          <w:sz w:val="16"/>
                        </w:rPr>
                        <w:t xml:space="preserve"> </w:t>
                      </w:r>
                      <w:r w:rsidRPr="00674608">
                        <w:rPr>
                          <w:rFonts w:asciiTheme="minorHAnsi" w:hAnsiTheme="minorHAnsi" w:cstheme="minorHAnsi"/>
                          <w:sz w:val="18"/>
                        </w:rPr>
                        <w:t>covers investments al</w:t>
                      </w:r>
                      <w:r>
                        <w:rPr>
                          <w:rFonts w:asciiTheme="minorHAnsi" w:hAnsiTheme="minorHAnsi" w:cstheme="minorHAnsi"/>
                          <w:sz w:val="18"/>
                        </w:rPr>
                        <w:t xml:space="preserve">igned with the environmental or </w:t>
                      </w:r>
                      <w:r w:rsidRPr="00674608">
                        <w:rPr>
                          <w:rFonts w:asciiTheme="minorHAnsi" w:hAnsiTheme="minorHAnsi" w:cstheme="minorHAnsi"/>
                          <w:sz w:val="18"/>
                        </w:rPr>
                        <w:t>social characteristics that do not qualify as sustainable investments</w:t>
                      </w:r>
                      <w:r>
                        <w:rPr>
                          <w:rFonts w:asciiTheme="minorHAnsi" w:hAnsiTheme="minorHAnsi" w:cstheme="minorHAnsi"/>
                          <w:sz w:val="18"/>
                        </w:rPr>
                        <w:t>.</w:t>
                      </w:r>
                    </w:p>
                    <w:p w:rsidR="002A0300" w:rsidP="002A0300" w:rsidRDefault="002A0300" w14:paraId="0E24786D" w14:textId="77777777">
                      <w:pPr>
                        <w:jc w:val="center"/>
                      </w:pPr>
                    </w:p>
                    <w:p w:rsidR="002A0300" w:rsidP="002A0300" w:rsidRDefault="002A0300" w14:paraId="282CA75F" w14:textId="77777777">
                      <w:pPr>
                        <w:jc w:val="center"/>
                      </w:pPr>
                    </w:p>
                    <w:p w:rsidRPr="000D37D3" w:rsidR="002A0300" w:rsidP="002A0300" w:rsidRDefault="002A0300" w14:paraId="541D9CB6" w14:textId="77777777">
                      <w:pPr>
                        <w:jc w:val="center"/>
                      </w:pPr>
                    </w:p>
                  </w:txbxContent>
                </v:textbox>
                <w10:wrap type="square" anchorx="margin" anchory="margin"/>
              </v:rect>
            </w:pict>
          </mc:Fallback>
        </mc:AlternateContent>
      </w:r>
      <w:r w:rsidRPr="002A0300" w:rsidR="002A0300">
        <w:rPr>
          <w:rFonts w:eastAsia="Calibri" w:asciiTheme="minorBidi" w:hAnsiTheme="minorBidi"/>
          <w:noProof/>
          <w:color w:val="000000"/>
        </w:rPr>
        <w:t xml:space="preserve">The Sub-Fund does not promote the specific environmental objectives set out in Regulation (EU) 2020/852. </w:t>
      </w:r>
    </w:p>
    <w:p w:rsidRPr="002A0300" w:rsidR="002A0300" w:rsidP="002A0300" w:rsidRDefault="002A0300" w14:paraId="2ABDB6F1" w14:textId="18AEA6D7">
      <w:pPr>
        <w:spacing w:after="160" w:line="259" w:lineRule="auto"/>
        <w:ind w:left="1353"/>
        <w:rPr>
          <w:rFonts w:eastAsia="Calibri" w:asciiTheme="minorBidi" w:hAnsiTheme="minorBidi"/>
          <w:noProof/>
          <w:color w:val="000000"/>
        </w:rPr>
      </w:pPr>
    </w:p>
    <w:p w:rsidRPr="002A0300" w:rsidR="002A0300" w:rsidP="002A0300" w:rsidRDefault="002A0300" w14:paraId="4B2000C9" w14:textId="090A716D">
      <w:pPr>
        <w:ind w:left="851"/>
        <w:rPr>
          <w:rFonts w:eastAsia="Calibri" w:asciiTheme="minorBidi" w:hAnsiTheme="minorBidi"/>
          <w:b/>
          <w:bCs/>
          <w:i/>
          <w:noProof/>
          <w:szCs w:val="24"/>
        </w:rPr>
      </w:pPr>
      <w:r w:rsidRPr="002A0300">
        <w:rPr>
          <w:rFonts w:eastAsia="SimSun" w:asciiTheme="minorBidi" w:hAnsiTheme="minorBidi"/>
          <w:b/>
          <w:bCs/>
          <w:i/>
          <w:iCs/>
          <w:noProof/>
          <w:lang w:eastAsia="zh-CN"/>
        </w:rPr>
        <mc:AlternateContent>
          <mc:Choice Requires="wps">
            <w:drawing>
              <wp:anchor distT="0" distB="0" distL="114300" distR="114300" simplePos="0" relativeHeight="251658249" behindDoc="0" locked="0" layoutInCell="1" allowOverlap="1" wp14:editId="0350BCA9" wp14:anchorId="629797C4">
                <wp:simplePos x="0" y="0"/>
                <wp:positionH relativeFrom="column">
                  <wp:posOffset>278878</wp:posOffset>
                </wp:positionH>
                <wp:positionV relativeFrom="paragraph">
                  <wp:posOffset>4421</wp:posOffset>
                </wp:positionV>
                <wp:extent cx="130175" cy="130175"/>
                <wp:effectExtent l="0" t="0" r="3175" b="3175"/>
                <wp:wrapNone/>
                <wp:docPr id="24" name="Oval 2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4" style="position:absolute;margin-left:21.95pt;margin-top:.35pt;width:10.25pt;height:10.2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" w14:anchorId="734C8FEA">
                <v:stroke joinstyle="miter"/>
              </v:oval>
            </w:pict>
          </mc:Fallback>
        </mc:AlternateContent>
      </w:r>
      <w:r w:rsidRPr="002A0300">
        <w:rPr>
          <w:rFonts w:eastAsia="Calibri" w:asciiTheme="minorBidi" w:hAnsiTheme="minorBidi"/>
          <w:b/>
          <w:i/>
          <w:iCs/>
          <w:noProof/>
          <w:lang w:eastAsia="zh-CN"/>
        </w:rPr>
        <w:t>How does the use of derivatives attain the environmental or social characteristics promoted by the financial product</w:t>
      </w:r>
      <w:r w:rsidRPr="002A0300">
        <w:rPr>
          <w:rFonts w:eastAsia="Calibri" w:asciiTheme="minorBidi" w:hAnsiTheme="minorBidi"/>
          <w:b/>
          <w:bCs/>
          <w:noProof/>
          <w:sz w:val="24"/>
          <w:szCs w:val="24"/>
          <w:lang w:val="en-US"/>
        </w:rPr>
        <w:t>?</w:t>
      </w:r>
      <w:r w:rsidRPr="002A0300">
        <w:rPr>
          <w:rFonts w:eastAsia="Calibri" w:asciiTheme="minorBidi" w:hAnsiTheme="minorBidi"/>
          <w:bCs/>
          <w:i/>
          <w:iCs/>
          <w:noProof/>
          <w:color w:val="C00000"/>
          <w:sz w:val="18"/>
        </w:rPr>
        <w:t xml:space="preserve"> </w:t>
      </w:r>
    </w:p>
    <w:p w:rsidRPr="002A0300" w:rsidR="002A0300" w:rsidP="002A0300" w:rsidRDefault="00391110" w14:paraId="25CAF291" w14:textId="70AE2A3A">
      <w:pPr>
        <w:rPr>
          <w:rFonts w:eastAsia="Calibri" w:asciiTheme="minorBidi" w:hAnsiTheme="minorBidi"/>
          <w:b/>
          <w:bCs/>
          <w:noProof/>
          <w:sz w:val="24"/>
          <w:szCs w:val="24"/>
        </w:rPr>
      </w:pPr>
      <w:r w:rsidRPr="002A0300">
        <w:rPr>
          <w:rFonts w:eastAsia="Calibri" w:asciiTheme="minorBidi" w:hAnsiTheme="minorBidi"/>
          <w:noProof/>
          <w:szCs w:val="24"/>
          <w:lang w:eastAsia="zh-CN"/>
        </w:rPr>
        <mc:AlternateContent>
          <mc:Choice Requires="wps">
            <w:drawing>
              <wp:anchor distT="0" distB="0" distL="114300" distR="114300" simplePos="0" relativeHeight="251658291" behindDoc="0" locked="0" layoutInCell="1" allowOverlap="1" wp14:editId="536F111F" wp14:anchorId="4D539035">
                <wp:simplePos x="0" y="0"/>
                <wp:positionH relativeFrom="page">
                  <wp:posOffset>57150</wp:posOffset>
                </wp:positionH>
                <wp:positionV relativeFrom="page">
                  <wp:posOffset>5063490</wp:posOffset>
                </wp:positionV>
                <wp:extent cx="1200150" cy="5676900"/>
                <wp:effectExtent l="0" t="0" r="0" b="0"/>
                <wp:wrapSquare wrapText="bothSides"/>
                <wp:docPr id="254" name="Rectangle 254"/>
                <wp:cNvGraphicFramePr/>
                <a:graphic xmlns:a="http://schemas.openxmlformats.org/drawingml/2006/main">
                  <a:graphicData uri="http://schemas.microsoft.com/office/word/2010/wordprocessingShape">
                    <wps:wsp>
                      <wps:cNvSpPr/>
                      <wps:spPr>
                        <a:xfrm>
                          <a:off x="0" y="0"/>
                          <a:ext cx="1200150" cy="5676900"/>
                        </a:xfrm>
                        <a:prstGeom prst="rect">
                          <a:avLst/>
                        </a:prstGeom>
                        <a:solidFill>
                          <a:sysClr val="window" lastClr="FFFFFF">
                            <a:lumMod val="95000"/>
                          </a:sysClr>
                        </a:solidFill>
                        <a:ln w="12700" cap="flat" cmpd="sng" algn="ctr">
                          <a:noFill/>
                          <a:prstDash val="solid"/>
                          <a:miter lim="800000"/>
                        </a:ln>
                        <a:effectLst/>
                      </wps:spPr>
                      <wps:txbx>
                        <w:txbxContent>
                          <w:p w:rsidRPr="00943440" w:rsidR="002A0300" w:rsidP="002A0300" w:rsidRDefault="002A0300" w14:paraId="02391F36" w14:textId="77777777">
                            <w:pPr>
                              <w:ind w:left="-142" w:right="-139"/>
                              <w:rPr>
                                <w:rFonts w:asciiTheme="minorHAnsi" w:hAnsiTheme="minorHAnsi" w:cstheme="minorHAnsi"/>
                                <w:color w:val="000000"/>
                                <w:sz w:val="20"/>
                              </w:rPr>
                            </w:pPr>
                            <w:r>
                              <w:rPr>
                                <w:rFonts w:asciiTheme="minorHAnsi" w:hAnsiTheme="minorHAnsi" w:cstheme="minorHAnsi"/>
                                <w:color w:val="000000"/>
                                <w:sz w:val="20"/>
                              </w:rPr>
                              <w:t>To comply with the EU Taxonomy, t</w:t>
                            </w:r>
                            <w:r w:rsidRPr="00943440">
                              <w:rPr>
                                <w:rFonts w:asciiTheme="minorHAnsi" w:hAnsiTheme="minorHAnsi" w:cstheme="minorHAnsi"/>
                                <w:color w:val="000000"/>
                                <w:sz w:val="20"/>
                              </w:rPr>
                              <w:t xml:space="preserve">he criteria for </w:t>
                            </w:r>
                            <w:r w:rsidRPr="00943440">
                              <w:rPr>
                                <w:rFonts w:asciiTheme="minorHAnsi" w:hAnsiTheme="minorHAnsi" w:cstheme="minorHAnsi"/>
                                <w:b/>
                                <w:bCs/>
                                <w:color w:val="000000"/>
                                <w:sz w:val="20"/>
                              </w:rPr>
                              <w:t>fossil gas</w:t>
                            </w:r>
                            <w:r w:rsidRPr="00943440">
                              <w:rPr>
                                <w:rFonts w:asciiTheme="minorHAnsi" w:hAnsiTheme="minorHAnsi" w:cstheme="minorHAnsi"/>
                                <w:color w:val="000000"/>
                                <w:sz w:val="20"/>
                              </w:rPr>
                              <w:t xml:space="preserve"> include limitations on emissions and switching to renewable </w:t>
                            </w:r>
                            <w:r>
                              <w:rPr>
                                <w:rFonts w:asciiTheme="minorHAnsi" w:hAnsiTheme="minorHAnsi" w:cstheme="minorHAnsi"/>
                                <w:color w:val="000000"/>
                                <w:sz w:val="20"/>
                              </w:rPr>
                              <w:t xml:space="preserve">power </w:t>
                            </w:r>
                            <w:r w:rsidRPr="00943440">
                              <w:rPr>
                                <w:rFonts w:asciiTheme="minorHAnsi" w:hAnsiTheme="minorHAnsi" w:cstheme="minorHAnsi"/>
                                <w:color w:val="000000"/>
                                <w:sz w:val="20"/>
                              </w:rPr>
                              <w:t xml:space="preserve">or low-carbon fuels by the end of 2035. For </w:t>
                            </w:r>
                            <w:r w:rsidRPr="00943440">
                              <w:rPr>
                                <w:rFonts w:asciiTheme="minorHAnsi" w:hAnsiTheme="minorHAnsi" w:cstheme="minorHAnsi"/>
                                <w:b/>
                                <w:bCs/>
                                <w:color w:val="000000"/>
                                <w:sz w:val="20"/>
                              </w:rPr>
                              <w:t>nuclear energy</w:t>
                            </w:r>
                            <w:r w:rsidRPr="00943440">
                              <w:rPr>
                                <w:rFonts w:asciiTheme="minorHAnsi" w:hAnsiTheme="minorHAnsi" w:cstheme="minorHAnsi"/>
                                <w:color w:val="000000"/>
                                <w:sz w:val="20"/>
                              </w:rPr>
                              <w:t xml:space="preserve">, the criteria include </w:t>
                            </w:r>
                            <w:r>
                              <w:rPr>
                                <w:rFonts w:asciiTheme="minorHAnsi" w:hAnsiTheme="minorHAnsi" w:cstheme="minorHAnsi"/>
                                <w:color w:val="000000"/>
                                <w:sz w:val="20"/>
                              </w:rPr>
                              <w:t>comprehensive</w:t>
                            </w:r>
                            <w:r w:rsidRPr="00943440">
                              <w:rPr>
                                <w:rFonts w:asciiTheme="minorHAnsi" w:hAnsiTheme="minorHAnsi" w:cstheme="minorHAnsi"/>
                                <w:color w:val="000000"/>
                                <w:sz w:val="20"/>
                              </w:rPr>
                              <w:t xml:space="preserve"> safety and waste management rules</w:t>
                            </w:r>
                            <w:r>
                              <w:rPr>
                                <w:rFonts w:asciiTheme="minorHAnsi" w:hAnsiTheme="minorHAnsi" w:cstheme="minorHAnsi"/>
                                <w:color w:val="000000"/>
                                <w:sz w:val="20"/>
                              </w:rPr>
                              <w:t>.</w:t>
                            </w:r>
                          </w:p>
                          <w:p w:rsidR="002A0300" w:rsidP="002A0300" w:rsidRDefault="002A0300" w14:paraId="646EFBBC" w14:textId="77777777">
                            <w:pPr>
                              <w:ind w:left="-142" w:right="-139"/>
                              <w:rPr>
                                <w:rFonts w:asciiTheme="minorHAnsi" w:hAnsiTheme="minorHAnsi" w:cstheme="minorHAnsi"/>
                                <w:bCs/>
                                <w:color w:val="000000"/>
                                <w:sz w:val="20"/>
                              </w:rPr>
                            </w:pPr>
                            <w:r w:rsidRPr="005A4750">
                              <w:rPr>
                                <w:rFonts w:asciiTheme="minorHAnsi" w:hAnsiTheme="minorHAnsi" w:cstheme="minorHAnsi"/>
                                <w:b/>
                                <w:bCs/>
                                <w:color w:val="000000"/>
                                <w:sz w:val="20"/>
                              </w:rPr>
                              <w:t xml:space="preserve">Enabling activities </w:t>
                            </w:r>
                            <w:r w:rsidRPr="005A4750">
                              <w:rPr>
                                <w:rFonts w:asciiTheme="minorHAnsi" w:hAnsiTheme="minorHAnsi" w:cstheme="minorHAnsi"/>
                                <w:bCs/>
                                <w:color w:val="000000"/>
                                <w:sz w:val="20"/>
                              </w:rPr>
                              <w:t>directly enable other activities to make a substantial contribution to an environmental objective.</w:t>
                            </w:r>
                          </w:p>
                          <w:p w:rsidRPr="005A4750" w:rsidR="002A0300" w:rsidP="002A0300" w:rsidRDefault="002A0300" w14:paraId="10BC4015" w14:textId="77777777">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levels  corres</w:t>
                            </w:r>
                            <w:r>
                              <w:rPr>
                                <w:rFonts w:asciiTheme="minorHAnsi" w:hAnsiTheme="minorHAnsi" w:cstheme="minorHAnsi"/>
                                <w:bCs/>
                                <w:color w:val="000000"/>
                                <w:sz w:val="20"/>
                              </w:rPr>
                              <w:t>ponding to the best performance.</w:t>
                            </w:r>
                          </w:p>
                          <w:p w:rsidRPr="005A4750" w:rsidR="002A0300" w:rsidP="002A0300" w:rsidRDefault="002A0300" w14:paraId="20F31583" w14:textId="77777777">
                            <w:pPr>
                              <w:rPr>
                                <w:rFonts w:asciiTheme="minorHAnsi" w:hAnsiTheme="minorHAnsi" w:cstheme="minorHAnsi"/>
                                <w:bCs/>
                                <w:color w:val="000000"/>
                                <w:sz w:val="20"/>
                              </w:rPr>
                            </w:pPr>
                          </w:p>
                          <w:p w:rsidRPr="005A4750" w:rsidR="002A0300" w:rsidP="002A0300" w:rsidRDefault="002A0300" w14:paraId="288CF8B1" w14:textId="77777777">
                            <w:pPr>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4" style="position:absolute;left:0;text-align:left;margin-left:4.5pt;margin-top:398.7pt;width:94.5pt;height:447pt;z-index:2516582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36"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" w14:anchorId="4D539035">
                <v:textbox inset="4mm,1mm,7mm">
                  <w:txbxContent>
                    <w:p w:rsidRPr="00943440" w:rsidR="002A0300" w:rsidP="002A0300" w:rsidRDefault="002A0300" w14:paraId="02391F36" w14:textId="77777777">
                      <w:pPr>
                        <w:ind w:left="-142" w:right="-139"/>
                        <w:rPr>
                          <w:rFonts w:asciiTheme="minorHAnsi" w:hAnsiTheme="minorHAnsi" w:cstheme="minorHAnsi"/>
                          <w:color w:val="000000"/>
                          <w:sz w:val="20"/>
                        </w:rPr>
                      </w:pPr>
                      <w:r>
                        <w:rPr>
                          <w:rFonts w:asciiTheme="minorHAnsi" w:hAnsiTheme="minorHAnsi" w:cstheme="minorHAnsi"/>
                          <w:color w:val="000000"/>
                          <w:sz w:val="20"/>
                        </w:rPr>
                        <w:t>To comply with the EU Taxonomy, t</w:t>
                      </w:r>
                      <w:r w:rsidRPr="00943440">
                        <w:rPr>
                          <w:rFonts w:asciiTheme="minorHAnsi" w:hAnsiTheme="minorHAnsi" w:cstheme="minorHAnsi"/>
                          <w:color w:val="000000"/>
                          <w:sz w:val="20"/>
                        </w:rPr>
                        <w:t xml:space="preserve">he criteria for </w:t>
                      </w:r>
                      <w:r w:rsidRPr="00943440">
                        <w:rPr>
                          <w:rFonts w:asciiTheme="minorHAnsi" w:hAnsiTheme="minorHAnsi" w:cstheme="minorHAnsi"/>
                          <w:b/>
                          <w:bCs/>
                          <w:color w:val="000000"/>
                          <w:sz w:val="20"/>
                        </w:rPr>
                        <w:t>fossil gas</w:t>
                      </w:r>
                      <w:r w:rsidRPr="00943440">
                        <w:rPr>
                          <w:rFonts w:asciiTheme="minorHAnsi" w:hAnsiTheme="minorHAnsi" w:cstheme="minorHAnsi"/>
                          <w:color w:val="000000"/>
                          <w:sz w:val="20"/>
                        </w:rPr>
                        <w:t xml:space="preserve"> include limitations on emissions and switching to renewable </w:t>
                      </w:r>
                      <w:r>
                        <w:rPr>
                          <w:rFonts w:asciiTheme="minorHAnsi" w:hAnsiTheme="minorHAnsi" w:cstheme="minorHAnsi"/>
                          <w:color w:val="000000"/>
                          <w:sz w:val="20"/>
                        </w:rPr>
                        <w:t xml:space="preserve">power </w:t>
                      </w:r>
                      <w:r w:rsidRPr="00943440">
                        <w:rPr>
                          <w:rFonts w:asciiTheme="minorHAnsi" w:hAnsiTheme="minorHAnsi" w:cstheme="minorHAnsi"/>
                          <w:color w:val="000000"/>
                          <w:sz w:val="20"/>
                        </w:rPr>
                        <w:t xml:space="preserve">or low-carbon fuels by the end of 2035. For </w:t>
                      </w:r>
                      <w:r w:rsidRPr="00943440">
                        <w:rPr>
                          <w:rFonts w:asciiTheme="minorHAnsi" w:hAnsiTheme="minorHAnsi" w:cstheme="minorHAnsi"/>
                          <w:b/>
                          <w:bCs/>
                          <w:color w:val="000000"/>
                          <w:sz w:val="20"/>
                        </w:rPr>
                        <w:t>nuclear energy</w:t>
                      </w:r>
                      <w:r w:rsidRPr="00943440">
                        <w:rPr>
                          <w:rFonts w:asciiTheme="minorHAnsi" w:hAnsiTheme="minorHAnsi" w:cstheme="minorHAnsi"/>
                          <w:color w:val="000000"/>
                          <w:sz w:val="20"/>
                        </w:rPr>
                        <w:t xml:space="preserve">, the criteria include </w:t>
                      </w:r>
                      <w:r>
                        <w:rPr>
                          <w:rFonts w:asciiTheme="minorHAnsi" w:hAnsiTheme="minorHAnsi" w:cstheme="minorHAnsi"/>
                          <w:color w:val="000000"/>
                          <w:sz w:val="20"/>
                        </w:rPr>
                        <w:t>comprehensive</w:t>
                      </w:r>
                      <w:r w:rsidRPr="00943440">
                        <w:rPr>
                          <w:rFonts w:asciiTheme="minorHAnsi" w:hAnsiTheme="minorHAnsi" w:cstheme="minorHAnsi"/>
                          <w:color w:val="000000"/>
                          <w:sz w:val="20"/>
                        </w:rPr>
                        <w:t xml:space="preserve"> safety and waste management rules</w:t>
                      </w:r>
                      <w:r>
                        <w:rPr>
                          <w:rFonts w:asciiTheme="minorHAnsi" w:hAnsiTheme="minorHAnsi" w:cstheme="minorHAnsi"/>
                          <w:color w:val="000000"/>
                          <w:sz w:val="20"/>
                        </w:rPr>
                        <w:t>.</w:t>
                      </w:r>
                    </w:p>
                    <w:p w:rsidR="002A0300" w:rsidP="002A0300" w:rsidRDefault="002A0300" w14:paraId="646EFBBC" w14:textId="77777777">
                      <w:pPr>
                        <w:ind w:left="-142" w:right="-139"/>
                        <w:rPr>
                          <w:rFonts w:asciiTheme="minorHAnsi" w:hAnsiTheme="minorHAnsi" w:cstheme="minorHAnsi"/>
                          <w:bCs/>
                          <w:color w:val="000000"/>
                          <w:sz w:val="20"/>
                        </w:rPr>
                      </w:pPr>
                      <w:r w:rsidRPr="005A4750">
                        <w:rPr>
                          <w:rFonts w:asciiTheme="minorHAnsi" w:hAnsiTheme="minorHAnsi" w:cstheme="minorHAnsi"/>
                          <w:b/>
                          <w:bCs/>
                          <w:color w:val="000000"/>
                          <w:sz w:val="20"/>
                        </w:rPr>
                        <w:t xml:space="preserve">Enabling activities </w:t>
                      </w:r>
                      <w:r w:rsidRPr="005A4750">
                        <w:rPr>
                          <w:rFonts w:asciiTheme="minorHAnsi" w:hAnsiTheme="minorHAnsi" w:cstheme="minorHAnsi"/>
                          <w:bCs/>
                          <w:color w:val="000000"/>
                          <w:sz w:val="20"/>
                        </w:rPr>
                        <w:t>directly enable other activities to make a substantial contribution to an environmental objective.</w:t>
                      </w:r>
                    </w:p>
                    <w:p w:rsidRPr="005A4750" w:rsidR="002A0300" w:rsidP="002A0300" w:rsidRDefault="002A0300" w14:paraId="10BC4015" w14:textId="77777777">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levels  corres</w:t>
                      </w:r>
                      <w:r>
                        <w:rPr>
                          <w:rFonts w:asciiTheme="minorHAnsi" w:hAnsiTheme="minorHAnsi" w:cstheme="minorHAnsi"/>
                          <w:bCs/>
                          <w:color w:val="000000"/>
                          <w:sz w:val="20"/>
                        </w:rPr>
                        <w:t>ponding to the best performance.</w:t>
                      </w:r>
                    </w:p>
                    <w:p w:rsidRPr="005A4750" w:rsidR="002A0300" w:rsidP="002A0300" w:rsidRDefault="002A0300" w14:paraId="20F31583" w14:textId="77777777">
                      <w:pPr>
                        <w:rPr>
                          <w:rFonts w:asciiTheme="minorHAnsi" w:hAnsiTheme="minorHAnsi" w:cstheme="minorHAnsi"/>
                          <w:bCs/>
                          <w:color w:val="000000"/>
                          <w:sz w:val="20"/>
                        </w:rPr>
                      </w:pPr>
                    </w:p>
                    <w:p w:rsidRPr="005A4750" w:rsidR="002A0300" w:rsidP="002A0300" w:rsidRDefault="002A0300" w14:paraId="288CF8B1" w14:textId="77777777">
                      <w:pPr>
                        <w:rPr>
                          <w:rFonts w:asciiTheme="minorHAnsi" w:hAnsiTheme="minorHAnsi" w:cstheme="minorHAnsi"/>
                          <w:color w:val="000000"/>
                        </w:rPr>
                      </w:pPr>
                    </w:p>
                  </w:txbxContent>
                </v:textbox>
                <w10:wrap type="square" anchorx="page" anchory="page"/>
              </v:rect>
            </w:pict>
          </mc:Fallback>
        </mc:AlternateContent>
      </w:r>
    </w:p>
    <w:p w:rsidRPr="002A0300" w:rsidR="002A0300" w:rsidP="002A0300" w:rsidRDefault="002A0300" w14:paraId="75C86C74"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Not applicable, derivatives are not used to promote environmental or social characteristics.</w:t>
      </w:r>
    </w:p>
    <w:p w:rsidRPr="002A0300" w:rsidR="002A0300" w:rsidP="002A0300" w:rsidRDefault="002A0300" w14:paraId="24F59ECB" w14:textId="77777777">
      <w:pPr>
        <w:rPr>
          <w:rFonts w:eastAsia="Calibri" w:asciiTheme="minorBidi" w:hAnsiTheme="minorBidi"/>
          <w:b/>
          <w:bCs/>
          <w:noProof/>
          <w:sz w:val="24"/>
          <w:szCs w:val="24"/>
        </w:rPr>
      </w:pPr>
      <w:r w:rsidRPr="002A0300">
        <w:rPr>
          <w:rFonts w:eastAsia="SimSun" w:asciiTheme="minorBidi" w:hAnsiTheme="minorBidi"/>
          <w:noProof/>
          <w:lang w:eastAsia="zh-CN"/>
        </w:rPr>
        <w:drawing>
          <wp:anchor distT="0" distB="0" distL="114300" distR="114300" simplePos="0" relativeHeight="251658285" behindDoc="0" locked="0" layoutInCell="1" allowOverlap="1" wp14:editId="587BD13B" wp14:anchorId="3AB1F7CA">
            <wp:simplePos x="0" y="0"/>
            <wp:positionH relativeFrom="leftMargin">
              <wp:posOffset>1519697</wp:posOffset>
            </wp:positionH>
            <wp:positionV relativeFrom="paragraph">
              <wp:posOffset>197979</wp:posOffset>
            </wp:positionV>
            <wp:extent cx="360000" cy="360000"/>
            <wp:effectExtent l="0" t="0" r="2540" b="2540"/>
            <wp:wrapSquare wrapText="bothSides"/>
            <wp:docPr id="95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rsidRPr="002A0300" w:rsidR="002A0300" w:rsidP="002A0300" w:rsidRDefault="002A0300" w14:paraId="7DD9A6F0" w14:textId="77777777">
      <w:pPr>
        <w:ind w:left="426"/>
        <w:rPr>
          <w:rFonts w:eastAsia="Calibri" w:asciiTheme="minorBidi" w:hAnsiTheme="minorBidi"/>
          <w:b/>
          <w:bCs/>
          <w:noProof/>
          <w:sz w:val="24"/>
          <w:szCs w:val="24"/>
        </w:rPr>
      </w:pPr>
      <w:r w:rsidRPr="002A0300">
        <w:rPr>
          <w:rFonts w:eastAsia="Calibri" w:asciiTheme="minorBidi" w:hAnsiTheme="minorBidi"/>
          <w:b/>
          <w:bCs/>
          <w:noProof/>
          <w:sz w:val="24"/>
          <w:szCs w:val="24"/>
        </w:rPr>
        <w:t xml:space="preserve">To what minimum extent are sustainable investments with an environmental objective aligned with the EU Taxonomy? </w:t>
      </w:r>
    </w:p>
    <w:p w:rsidRPr="002A0300" w:rsidR="002A0300" w:rsidP="002A0300" w:rsidRDefault="002A0300" w14:paraId="21E6332F" w14:textId="77777777">
      <w:pPr>
        <w:ind w:left="426"/>
        <w:rPr>
          <w:rFonts w:eastAsia="Calibri" w:asciiTheme="minorBidi" w:hAnsiTheme="minorBidi"/>
          <w:b/>
          <w:bCs/>
          <w:noProof/>
          <w:sz w:val="24"/>
          <w:szCs w:val="24"/>
        </w:rPr>
      </w:pPr>
    </w:p>
    <w:p w:rsidRPr="002A0300" w:rsidR="002A0300" w:rsidP="002A0300" w:rsidRDefault="002A0300" w14:paraId="17465E6E" w14:textId="77777777">
      <w:pPr>
        <w:spacing w:after="160" w:line="259" w:lineRule="auto"/>
        <w:ind w:left="993"/>
        <w:rPr>
          <w:rFonts w:eastAsia="SimSun" w:asciiTheme="minorBidi" w:hAnsiTheme="minorBidi"/>
          <w:color w:val="000000"/>
          <w:lang w:val="en-US" w:eastAsia="zh-CN"/>
        </w:rPr>
      </w:pPr>
      <w:r w:rsidRPr="002A0300">
        <w:rPr>
          <w:rFonts w:eastAsia="SimSun" w:asciiTheme="minorBidi" w:hAnsiTheme="minorBidi"/>
          <w:color w:val="000000"/>
          <w:lang w:val="en-US" w:eastAsia="zh-CN"/>
        </w:rPr>
        <w:t xml:space="preserve">The Sub-Fund promotes environmental </w:t>
      </w:r>
      <w:proofErr w:type="gramStart"/>
      <w:r w:rsidRPr="002A0300">
        <w:rPr>
          <w:rFonts w:eastAsia="SimSun" w:asciiTheme="minorBidi" w:hAnsiTheme="minorBidi"/>
          <w:color w:val="000000"/>
          <w:lang w:val="en-US" w:eastAsia="zh-CN"/>
        </w:rPr>
        <w:t>characteristics</w:t>
      </w:r>
      <w:proofErr w:type="gramEnd"/>
      <w:r w:rsidRPr="002A0300">
        <w:rPr>
          <w:rFonts w:eastAsia="SimSun" w:asciiTheme="minorBidi" w:hAnsiTheme="minorBidi"/>
          <w:color w:val="000000"/>
          <w:lang w:val="en-US" w:eastAsia="zh-CN"/>
        </w:rPr>
        <w:t xml:space="preserve"> but it does not commit itself to </w:t>
      </w:r>
      <w:proofErr w:type="gramStart"/>
      <w:r w:rsidRPr="002A0300">
        <w:rPr>
          <w:rFonts w:eastAsia="SimSun" w:asciiTheme="minorBidi" w:hAnsiTheme="minorBidi"/>
          <w:color w:val="000000"/>
          <w:lang w:val="en-US" w:eastAsia="zh-CN"/>
        </w:rPr>
        <w:t>make</w:t>
      </w:r>
      <w:proofErr w:type="gramEnd"/>
      <w:r w:rsidRPr="002A0300">
        <w:rPr>
          <w:rFonts w:eastAsia="SimSun" w:asciiTheme="minorBidi" w:hAnsiTheme="minorBidi"/>
          <w:color w:val="000000"/>
          <w:lang w:val="en-US" w:eastAsia="zh-CN"/>
        </w:rPr>
        <w:t xml:space="preserve"> sustainable investments within the meaning of art. 2(17) of Regulation (EU) 2019/2088.</w:t>
      </w:r>
    </w:p>
    <w:p w:rsidRPr="002A0300" w:rsidR="002A0300" w:rsidP="002A0300" w:rsidRDefault="002A0300" w14:paraId="01A158F6"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The Sub-Fund’s proportion of environmentally sustainable investments within the meaning of Regulation (EU) 2020/852 is equal to 0%.</w:t>
      </w:r>
    </w:p>
    <w:p w:rsidRPr="002A0300" w:rsidR="002A0300" w:rsidP="002A0300" w:rsidRDefault="002A0300" w14:paraId="25DE9548" w14:textId="77777777">
      <w:pPr>
        <w:rPr>
          <w:rFonts w:eastAsia="Calibri" w:asciiTheme="minorBidi" w:hAnsiTheme="minorBidi"/>
          <w:b/>
          <w:bCs/>
          <w:noProof/>
          <w:sz w:val="24"/>
          <w:szCs w:val="24"/>
        </w:rPr>
      </w:pPr>
    </w:p>
    <w:p w:rsidRPr="002A0300" w:rsidR="002A0300" w:rsidP="002A0300" w:rsidRDefault="002A0300" w14:paraId="6711C2AC" w14:textId="77777777">
      <w:pPr>
        <w:ind w:left="851"/>
        <w:rPr>
          <w:rFonts w:eastAsia="Calibri" w:asciiTheme="minorBidi" w:hAnsiTheme="minorBidi"/>
          <w:b/>
          <w:bCs/>
          <w:noProof/>
          <w:szCs w:val="24"/>
        </w:rPr>
      </w:pPr>
      <w:r w:rsidRPr="002A0300">
        <w:rPr>
          <w:rFonts w:eastAsia="SimSun" w:asciiTheme="minorBidi" w:hAnsiTheme="minorBidi"/>
          <w:b/>
          <w:bCs/>
          <w:i/>
          <w:iCs/>
          <w:noProof/>
          <w:sz w:val="20"/>
          <w:lang w:eastAsia="zh-CN"/>
        </w:rPr>
        <mc:AlternateContent>
          <mc:Choice Requires="wps">
            <w:drawing>
              <wp:anchor distT="0" distB="0" distL="114300" distR="114300" simplePos="0" relativeHeight="251658293" behindDoc="0" locked="0" layoutInCell="1" allowOverlap="1" wp14:editId="7BB455BF" wp14:anchorId="21169DE6">
                <wp:simplePos x="0" y="0"/>
                <wp:positionH relativeFrom="column">
                  <wp:posOffset>295747</wp:posOffset>
                </wp:positionH>
                <wp:positionV relativeFrom="paragraph">
                  <wp:posOffset>55245</wp:posOffset>
                </wp:positionV>
                <wp:extent cx="130175" cy="130175"/>
                <wp:effectExtent l="0" t="0" r="3175" b="3175"/>
                <wp:wrapNone/>
                <wp:docPr id="25" name="Oval 2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style="position:absolute;margin-left:23.3pt;margin-top:4.35pt;width:10.25pt;height:10.2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" w14:anchorId="063B663E">
                <v:stroke joinstyle="miter"/>
              </v:oval>
            </w:pict>
          </mc:Fallback>
        </mc:AlternateContent>
      </w:r>
      <w:r w:rsidRPr="002A0300">
        <w:rPr>
          <w:rFonts w:eastAsia="Calibri" w:asciiTheme="minorBidi" w:hAnsiTheme="minorBidi"/>
          <w:b/>
          <w:bCs/>
          <w:noProof/>
          <w:szCs w:val="24"/>
        </w:rPr>
        <w:t>Does the financial product invest in fossil gas and/or nuclear energy related activities that comply with the EU Taxonomy</w:t>
      </w:r>
      <w:r w:rsidRPr="002A0300">
        <w:rPr>
          <w:rFonts w:eastAsia="Calibri" w:asciiTheme="minorBidi" w:hAnsiTheme="minorBidi"/>
          <w:b/>
          <w:bCs/>
          <w:noProof/>
          <w:vertAlign w:val="superscript"/>
        </w:rPr>
        <w:footnoteReference w:id="2"/>
      </w:r>
      <w:r w:rsidRPr="002A0300">
        <w:rPr>
          <w:rFonts w:eastAsia="Calibri" w:asciiTheme="minorBidi" w:hAnsiTheme="minorBidi"/>
          <w:b/>
          <w:bCs/>
          <w:noProof/>
          <w:szCs w:val="24"/>
        </w:rPr>
        <w:t>?</w:t>
      </w:r>
    </w:p>
    <w:p w:rsidRPr="002A0300" w:rsidR="002A0300" w:rsidP="002A0300" w:rsidRDefault="002A0300" w14:paraId="2F662BD2" w14:textId="77777777">
      <w:pPr>
        <w:ind w:left="426"/>
        <w:rPr>
          <w:rFonts w:eastAsia="Calibri" w:asciiTheme="minorBidi" w:hAnsiTheme="minorBidi"/>
          <w:b/>
          <w:bCs/>
          <w:noProof/>
          <w:sz w:val="24"/>
          <w:szCs w:val="24"/>
        </w:rPr>
      </w:pPr>
    </w:p>
    <w:p w:rsidRPr="002A0300" w:rsidR="002A0300" w:rsidP="002A0300" w:rsidRDefault="002A0300" w14:paraId="7DABE5A9" w14:textId="77777777">
      <w:pPr>
        <w:spacing w:after="160" w:line="259" w:lineRule="auto"/>
        <w:ind w:left="1701"/>
        <w:rPr>
          <w:rFonts w:eastAsia="Calibri" w:asciiTheme="minorBidi" w:hAnsiTheme="minorBidi"/>
          <w:noProof/>
          <w:color w:val="000000"/>
        </w:rPr>
      </w:pPr>
      <w:r w:rsidRPr="002A0300">
        <w:rPr>
          <w:rFonts w:eastAsia="Calibri" w:asciiTheme="minorBidi" w:hAnsiTheme="minorBidi"/>
          <w:noProof/>
          <w:color w:val="000000"/>
          <w:lang w:eastAsia="zh-CN"/>
        </w:rPr>
        <mc:AlternateContent>
          <mc:Choice Requires="wps">
            <w:drawing>
              <wp:anchor distT="0" distB="0" distL="114300" distR="114300" simplePos="0" relativeHeight="251658294" behindDoc="0" locked="0" layoutInCell="1" allowOverlap="1" wp14:editId="527971F4" wp14:anchorId="504A6E61">
                <wp:simplePos x="0" y="0"/>
                <wp:positionH relativeFrom="column">
                  <wp:posOffset>722724</wp:posOffset>
                </wp:positionH>
                <wp:positionV relativeFrom="paragraph">
                  <wp:posOffset>12065</wp:posOffset>
                </wp:positionV>
                <wp:extent cx="179705" cy="193675"/>
                <wp:effectExtent l="0" t="0" r="0" b="0"/>
                <wp:wrapSquare wrapText="bothSides"/>
                <wp:docPr id="29" name="Rectangle 2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56.9pt;margin-top:.95pt;width:14.15pt;height:15.2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" w14:anchorId="21FFD117">
                <w10:wrap type="square"/>
              </v:rect>
            </w:pict>
          </mc:Fallback>
        </mc:AlternateContent>
      </w:r>
      <w:r w:rsidRPr="002A0300">
        <w:rPr>
          <w:rFonts w:eastAsia="Calibri" w:asciiTheme="minorBidi" w:hAnsiTheme="minorBidi"/>
          <w:b/>
          <w:bCs/>
          <w:noProof/>
          <w:sz w:val="24"/>
          <w:szCs w:val="24"/>
        </w:rPr>
        <w:t xml:space="preserve"> </w:t>
      </w:r>
      <w:r w:rsidRPr="002A0300">
        <w:rPr>
          <w:rFonts w:eastAsia="Calibri" w:asciiTheme="minorBidi" w:hAnsiTheme="minorBidi"/>
          <w:noProof/>
          <w:color w:val="000000"/>
        </w:rPr>
        <w:t xml:space="preserve">Yes: </w:t>
      </w:r>
      <w:r w:rsidRPr="002A0300">
        <w:rPr>
          <w:rFonts w:eastAsia="Calibri" w:asciiTheme="minorBidi" w:hAnsiTheme="minorBidi"/>
          <w:noProof/>
        </w:rPr>
        <w:t xml:space="preserve"> </w:t>
      </w:r>
    </w:p>
    <w:p w:rsidRPr="002A0300" w:rsidR="002A0300" w:rsidP="002A0300" w:rsidRDefault="002A0300" w14:paraId="46968472" w14:textId="77777777">
      <w:pPr>
        <w:spacing w:after="160" w:line="259" w:lineRule="auto"/>
        <w:ind w:left="1701"/>
        <w:rPr>
          <w:rFonts w:eastAsia="Calibri" w:asciiTheme="minorBidi" w:hAnsiTheme="minorBidi"/>
          <w:noProof/>
          <w:color w:val="000000"/>
        </w:rPr>
      </w:pPr>
      <w:r w:rsidRPr="002A0300">
        <w:rPr>
          <w:rFonts w:eastAsia="Calibri" w:asciiTheme="minorBidi" w:hAnsiTheme="minorBidi"/>
          <w:noProof/>
          <w:color w:val="000000"/>
          <w:lang w:eastAsia="zh-CN"/>
        </w:rPr>
        <mc:AlternateContent>
          <mc:Choice Requires="wps">
            <w:drawing>
              <wp:anchor distT="0" distB="0" distL="114300" distR="114300" simplePos="0" relativeHeight="251658297" behindDoc="0" locked="0" layoutInCell="1" allowOverlap="1" wp14:editId="0B1C9548" wp14:anchorId="18157B01">
                <wp:simplePos x="0" y="0"/>
                <wp:positionH relativeFrom="column">
                  <wp:posOffset>2302547</wp:posOffset>
                </wp:positionH>
                <wp:positionV relativeFrom="paragraph">
                  <wp:posOffset>8255</wp:posOffset>
                </wp:positionV>
                <wp:extent cx="179705" cy="193675"/>
                <wp:effectExtent l="0" t="0" r="0" b="0"/>
                <wp:wrapSquare wrapText="bothSides"/>
                <wp:docPr id="929" name="Rectangle 92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9" style="position:absolute;margin-left:181.3pt;margin-top:.65pt;width:14.15pt;height:15.2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" w14:anchorId="433ABD84">
                <w10:wrap type="square"/>
              </v:rect>
            </w:pict>
          </mc:Fallback>
        </mc:AlternateContent>
      </w:r>
      <w:r w:rsidRPr="002A0300">
        <w:rPr>
          <w:rFonts w:eastAsia="Calibri" w:asciiTheme="minorBidi" w:hAnsiTheme="minorBidi"/>
          <w:noProof/>
          <w:color w:val="000000"/>
          <w:lang w:eastAsia="zh-CN"/>
        </w:rPr>
        <mc:AlternateContent>
          <mc:Choice Requires="wps">
            <w:drawing>
              <wp:anchor distT="0" distB="0" distL="114300" distR="114300" simplePos="0" relativeHeight="251658296" behindDoc="0" locked="0" layoutInCell="1" allowOverlap="1" wp14:editId="6D546288" wp14:anchorId="62979C4F">
                <wp:simplePos x="0" y="0"/>
                <wp:positionH relativeFrom="column">
                  <wp:posOffset>1183168</wp:posOffset>
                </wp:positionH>
                <wp:positionV relativeFrom="paragraph">
                  <wp:posOffset>9971</wp:posOffset>
                </wp:positionV>
                <wp:extent cx="179705" cy="193675"/>
                <wp:effectExtent l="0" t="0" r="0" b="0"/>
                <wp:wrapSquare wrapText="bothSides"/>
                <wp:docPr id="928" name="Rectangle 92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8" style="position:absolute;margin-left:93.15pt;margin-top:.8pt;width:14.15pt;height:15.2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" w14:anchorId="20A15450">
                <w10:wrap type="square"/>
              </v:rect>
            </w:pict>
          </mc:Fallback>
        </mc:AlternateContent>
      </w:r>
      <w:r w:rsidRPr="002A0300">
        <w:rPr>
          <w:rFonts w:eastAsia="Calibri" w:asciiTheme="minorBidi" w:hAnsiTheme="minorBidi"/>
          <w:noProof/>
          <w:color w:val="000000"/>
        </w:rPr>
        <w:t xml:space="preserve">In fossil gas In nuclear energy </w:t>
      </w:r>
    </w:p>
    <w:p w:rsidRPr="002A0300" w:rsidR="002A0300" w:rsidP="002A0300" w:rsidRDefault="002A0300" w14:paraId="1763F397" w14:textId="77777777">
      <w:pPr>
        <w:spacing w:after="160" w:line="259" w:lineRule="auto"/>
        <w:ind w:left="1701"/>
        <w:rPr>
          <w:rFonts w:eastAsia="Calibri" w:asciiTheme="minorBidi" w:hAnsiTheme="minorBidi"/>
          <w:noProof/>
        </w:rPr>
      </w:pPr>
      <w:r w:rsidRPr="002A0300">
        <w:rPr>
          <w:rFonts w:eastAsia="SimSun" w:asciiTheme="minorBidi" w:hAnsiTheme="minorBidi"/>
          <w:noProof/>
          <w:lang w:eastAsia="zh-CN"/>
        </w:rPr>
        <w:drawing>
          <wp:anchor distT="0" distB="0" distL="114300" distR="114300" simplePos="0" relativeHeight="251658302" behindDoc="0" locked="0" layoutInCell="1" allowOverlap="1" wp14:editId="285A2EA1" wp14:anchorId="5954E175">
            <wp:simplePos x="0" y="0"/>
            <wp:positionH relativeFrom="column">
              <wp:posOffset>776605</wp:posOffset>
            </wp:positionH>
            <wp:positionV relativeFrom="paragraph">
              <wp:posOffset>9525</wp:posOffset>
            </wp:positionV>
            <wp:extent cx="124460" cy="1244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2A0300">
        <w:rPr>
          <w:rFonts w:eastAsia="Calibri" w:asciiTheme="minorBidi" w:hAnsiTheme="minorBidi"/>
          <w:noProof/>
          <w:color w:val="000000"/>
          <w:lang w:eastAsia="zh-CN"/>
        </w:rPr>
        <mc:AlternateContent>
          <mc:Choice Requires="wps">
            <w:drawing>
              <wp:anchor distT="0" distB="0" distL="114300" distR="114300" simplePos="0" relativeHeight="251658295" behindDoc="0" locked="0" layoutInCell="1" allowOverlap="1" wp14:editId="087F82AB" wp14:anchorId="26BBAA43">
                <wp:simplePos x="0" y="0"/>
                <wp:positionH relativeFrom="column">
                  <wp:posOffset>722630</wp:posOffset>
                </wp:positionH>
                <wp:positionV relativeFrom="paragraph">
                  <wp:posOffset>-1590</wp:posOffset>
                </wp:positionV>
                <wp:extent cx="179705" cy="193675"/>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56.9pt;margin-top:-.15pt;width:14.15pt;height:15.2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" w14:anchorId="7DD954E8">
                <w10:wrap type="square"/>
              </v:rect>
            </w:pict>
          </mc:Fallback>
        </mc:AlternateContent>
      </w:r>
      <w:r w:rsidRPr="002A0300">
        <w:rPr>
          <w:rFonts w:eastAsia="Calibri" w:asciiTheme="minorBidi" w:hAnsiTheme="minorBidi"/>
          <w:noProof/>
          <w:color w:val="000000"/>
        </w:rPr>
        <w:t>No</w:t>
      </w:r>
      <w:r w:rsidRPr="002A0300">
        <w:rPr>
          <w:rFonts w:eastAsia="Calibri" w:asciiTheme="minorBidi" w:hAnsiTheme="minorBidi"/>
          <w:noProof/>
        </w:rPr>
        <w:t xml:space="preserve"> </w:t>
      </w:r>
    </w:p>
    <w:p w:rsidRPr="002A0300" w:rsidR="002A0300" w:rsidP="002A0300" w:rsidRDefault="00B015D9" w14:paraId="7084AA17" w14:textId="7D7F0E80">
      <w:pPr>
        <w:spacing w:after="160" w:line="259" w:lineRule="auto"/>
        <w:ind w:left="1701"/>
        <w:rPr>
          <w:rFonts w:eastAsia="Calibri" w:asciiTheme="minorBidi" w:hAnsiTheme="minorBidi"/>
          <w:noProof/>
        </w:rPr>
      </w:pPr>
      <w:r w:rsidRPr="002A0300">
        <w:rPr>
          <w:rFonts w:eastAsia="Calibri" w:asciiTheme="minorBidi" w:hAnsiTheme="minorBidi"/>
          <w:noProof/>
          <w:szCs w:val="24"/>
          <w:lang w:eastAsia="zh-CN"/>
        </w:rPr>
        <w:lastRenderedPageBreak/>
        <mc:AlternateContent>
          <mc:Choice Requires="wps">
            <w:drawing>
              <wp:anchor distT="0" distB="0" distL="114300" distR="114300" simplePos="0" relativeHeight="251658292" behindDoc="0" locked="0" layoutInCell="1" allowOverlap="1" wp14:editId="6E3FB197" wp14:anchorId="0D8473AF">
                <wp:simplePos x="0" y="0"/>
                <wp:positionH relativeFrom="leftMargin">
                  <wp:posOffset>22225</wp:posOffset>
                </wp:positionH>
                <wp:positionV relativeFrom="page">
                  <wp:posOffset>885825</wp:posOffset>
                </wp:positionV>
                <wp:extent cx="1200150" cy="3790950"/>
                <wp:effectExtent l="0" t="0" r="0" b="0"/>
                <wp:wrapSquare wrapText="bothSides"/>
                <wp:docPr id="21" name="Rectangle 21"/>
                <wp:cNvGraphicFramePr/>
                <a:graphic xmlns:a="http://schemas.openxmlformats.org/drawingml/2006/main">
                  <a:graphicData uri="http://schemas.microsoft.com/office/word/2010/wordprocessingShape">
                    <wps:wsp>
                      <wps:cNvSpPr/>
                      <wps:spPr>
                        <a:xfrm>
                          <a:off x="0" y="0"/>
                          <a:ext cx="1200150" cy="3790950"/>
                        </a:xfrm>
                        <a:prstGeom prst="rect">
                          <a:avLst/>
                        </a:prstGeom>
                        <a:solidFill>
                          <a:sysClr val="window" lastClr="FFFFFF">
                            <a:lumMod val="95000"/>
                          </a:sysClr>
                        </a:solidFill>
                        <a:ln w="12700" cap="flat" cmpd="sng" algn="ctr">
                          <a:noFill/>
                          <a:prstDash val="solid"/>
                          <a:miter lim="800000"/>
                        </a:ln>
                        <a:effectLst/>
                      </wps:spPr>
                      <wps:txbx>
                        <w:txbxContent>
                          <w:p w:rsidRPr="00E82CB3" w:rsidR="002A0300" w:rsidP="002A0300" w:rsidRDefault="002A0300" w14:paraId="432D5752" w14:textId="77777777">
                            <w:pPr>
                              <w:ind w:left="-142" w:right="-318"/>
                              <w:rPr>
                                <w:rFonts w:asciiTheme="minorHAnsi" w:hAnsiTheme="minorHAnsi" w:cstheme="minorHAnsi"/>
                                <w:bCs/>
                                <w:color w:val="000000"/>
                                <w:sz w:val="20"/>
                              </w:rPr>
                            </w:pPr>
                            <w:r>
                              <w:rPr>
                                <w:noProof/>
                              </w:rPr>
                              <w:t xml:space="preserve">   </w:t>
                            </w:r>
                            <w:r>
                              <w:rPr>
                                <w:noProof/>
                              </w:rPr>
                              <w:drawing>
                                <wp:inline distT="0" distB="0" distL="0" distR="0" wp14:anchorId="509D4907" wp14:editId="3D077B7E">
                                  <wp:extent cx="277978" cy="264312"/>
                                  <wp:effectExtent l="0" t="0" r="8255" b="2540"/>
                                  <wp:docPr id="8" name="Graphic 8"/>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2736" cy="268836"/>
                                          </a:xfrm>
                                          <a:prstGeom prst="rect">
                                            <a:avLst/>
                                          </a:prstGeom>
                                        </pic:spPr>
                                      </pic:pic>
                                    </a:graphicData>
                                  </a:graphic>
                                </wp:inline>
                              </w:drawing>
                            </w:r>
                            <w:r w:rsidRPr="00E47F7D">
                              <w:rPr>
                                <w:noProof/>
                                <w:sz w:val="20"/>
                              </w:rPr>
                              <w:t xml:space="preserve"> </w:t>
                            </w:r>
                            <w:r w:rsidRPr="00E82CB3">
                              <w:rPr>
                                <w:rFonts w:asciiTheme="minorHAnsi" w:hAnsiTheme="minorHAnsi" w:cstheme="minorHAnsi"/>
                                <w:noProof/>
                                <w:sz w:val="20"/>
                              </w:rPr>
                              <w:t xml:space="preserve">are 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Pr>
                                <w:rFonts w:asciiTheme="minorHAnsi" w:hAnsiTheme="minorHAnsi" w:cstheme="minorHAnsi"/>
                                <w:noProof/>
                                <w:sz w:val="20"/>
                              </w:rPr>
                              <w:t xml:space="preserve"> for environmental</w:t>
                            </w:r>
                            <w:r w:rsidRPr="00E82CB3">
                              <w:rPr>
                                <w:rFonts w:asciiTheme="minorHAnsi" w:hAnsiTheme="minorHAnsi" w:cstheme="minorHAnsi"/>
                                <w:noProof/>
                                <w:sz w:val="20"/>
                              </w:rPr>
                              <w:t xml:space="preserve">y sustainable economic activities under the EU Taxonomy. </w:t>
                            </w:r>
                          </w:p>
                          <w:p w:rsidRPr="007A7DCA" w:rsidR="002A0300" w:rsidP="002A0300" w:rsidRDefault="002A0300" w14:paraId="3D7BC765" w14:textId="77777777">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left:0;text-align:left;margin-left:1.75pt;margin-top:69.75pt;width:94.5pt;height:298.5pt;z-index:2516582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spid="_x0000_s1037"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" w14:anchorId="0D8473AF">
                <v:textbox inset="4mm,1mm,7mm">
                  <w:txbxContent>
                    <w:p w:rsidRPr="00E82CB3" w:rsidR="002A0300" w:rsidP="002A0300" w:rsidRDefault="002A0300" w14:paraId="432D5752" w14:textId="77777777">
                      <w:pPr>
                        <w:ind w:left="-142" w:right="-318"/>
                        <w:rPr>
                          <w:rFonts w:asciiTheme="minorHAnsi" w:hAnsiTheme="minorHAnsi" w:cstheme="minorHAnsi"/>
                          <w:bCs/>
                          <w:color w:val="000000"/>
                          <w:sz w:val="20"/>
                        </w:rPr>
                      </w:pPr>
                      <w:r>
                        <w:rPr>
                          <w:noProof/>
                        </w:rPr>
                        <w:t xml:space="preserve">   </w:t>
                      </w:r>
                      <w:r>
                        <w:rPr>
                          <w:noProof/>
                        </w:rPr>
                        <w:drawing>
                          <wp:inline distT="0" distB="0" distL="0" distR="0" wp14:anchorId="509D4907" wp14:editId="3D077B7E">
                            <wp:extent cx="277978" cy="264312"/>
                            <wp:effectExtent l="0" t="0" r="8255" b="2540"/>
                            <wp:docPr id="8" name="Graphic 8"/>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2736" cy="268836"/>
                                    </a:xfrm>
                                    <a:prstGeom prst="rect">
                                      <a:avLst/>
                                    </a:prstGeom>
                                  </pic:spPr>
                                </pic:pic>
                              </a:graphicData>
                            </a:graphic>
                          </wp:inline>
                        </w:drawing>
                      </w:r>
                      <w:r w:rsidRPr="00E47F7D">
                        <w:rPr>
                          <w:noProof/>
                          <w:sz w:val="20"/>
                        </w:rPr>
                        <w:t xml:space="preserve"> </w:t>
                      </w:r>
                      <w:r w:rsidRPr="00E82CB3">
                        <w:rPr>
                          <w:rFonts w:asciiTheme="minorHAnsi" w:hAnsiTheme="minorHAnsi" w:cstheme="minorHAnsi"/>
                          <w:noProof/>
                          <w:sz w:val="20"/>
                        </w:rPr>
                        <w:t xml:space="preserve">are 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Pr>
                          <w:rFonts w:asciiTheme="minorHAnsi" w:hAnsiTheme="minorHAnsi" w:cstheme="minorHAnsi"/>
                          <w:noProof/>
                          <w:sz w:val="20"/>
                        </w:rPr>
                        <w:t xml:space="preserve"> for environmental</w:t>
                      </w:r>
                      <w:r w:rsidRPr="00E82CB3">
                        <w:rPr>
                          <w:rFonts w:asciiTheme="minorHAnsi" w:hAnsiTheme="minorHAnsi" w:cstheme="minorHAnsi"/>
                          <w:noProof/>
                          <w:sz w:val="20"/>
                        </w:rPr>
                        <w:t xml:space="preserve">y sustainable economic activities under the EU Taxonomy. </w:t>
                      </w:r>
                    </w:p>
                    <w:p w:rsidRPr="007A7DCA" w:rsidR="002A0300" w:rsidP="002A0300" w:rsidRDefault="002A0300" w14:paraId="3D7BC765" w14:textId="77777777">
                      <w:pPr>
                        <w:rPr>
                          <w:color w:val="000000"/>
                        </w:rPr>
                      </w:pPr>
                    </w:p>
                  </w:txbxContent>
                </v:textbox>
                <w10:wrap type="square" anchorx="margin" anchory="page"/>
              </v:rect>
            </w:pict>
          </mc:Fallback>
        </mc:AlternateContent>
      </w:r>
    </w:p>
    <w:tbl>
      <w:tblPr>
        <w:tblStyle w:val="PlainTable11"/>
        <w:tblpPr w:leftFromText="180" w:rightFromText="180" w:vertAnchor="text" w:horzAnchor="margin" w:tblpXSpec="right" w:tblpY="-36"/>
        <w:tblW w:w="7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E9D7"/>
        <w:tblLayout w:type="fixed"/>
        <w:tblLook w:val="04A0" w:firstRow="1" w:lastRow="0" w:firstColumn="1" w:lastColumn="0" w:noHBand="0" w:noVBand="1"/>
      </w:tblPr>
      <w:tblGrid>
        <w:gridCol w:w="3686"/>
        <w:gridCol w:w="3974"/>
      </w:tblGrid>
      <w:tr w:rsidRPr="002A0300" w:rsidR="002A0300" w:rsidTr="00E11BE3" w14:paraId="2EEA4414" w14:textId="77777777">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660" w:type="dxa"/>
            <w:gridSpan w:val="2"/>
            <w:shd w:val="clear" w:color="auto" w:fill="FAE9D7"/>
            <w:hideMark/>
          </w:tcPr>
          <w:p w:rsidRPr="002A0300" w:rsidR="002A0300" w:rsidP="002A0300" w:rsidRDefault="002A0300" w14:paraId="2C7E2413" w14:textId="77777777">
            <w:pPr>
              <w:spacing w:after="160" w:line="256" w:lineRule="auto"/>
              <w:rPr>
                <w:rFonts w:ascii="Calibri" w:hAnsi="Calibri" w:eastAsia="SimSun" w:cs="Calibri"/>
                <w:i/>
                <w:iCs/>
                <w:noProof/>
                <w:sz w:val="18"/>
              </w:rPr>
            </w:pPr>
            <w:r w:rsidRPr="002A0300">
              <w:rPr>
                <w:rFonts w:ascii="Calibri" w:hAnsi="Calibri" w:eastAsia="SimSun" w:cs="Calibri"/>
                <w:i/>
                <w:iCs/>
                <w:noProof/>
                <w:sz w:val="18"/>
              </w:rPr>
              <w:t>The two graphs below show in green the minimum percentage of investments that are aligned with the EU Taxonomy. As there is no appropriate methodology to determine the Taxonomy-alignment of sovereign bonds*, the first graph shows the Taxonomy alignment in relation to all the investments of the financial product including sovereign bonds, while the second graph shows the Taxonomy alignment only in relation to the investments of the financial product other than sovereign bonds.</w:t>
            </w:r>
          </w:p>
          <w:p w:rsidRPr="002A0300" w:rsidR="002A0300" w:rsidP="002A0300" w:rsidRDefault="002A0300" w14:paraId="7E3AC025" w14:textId="77777777">
            <w:pPr>
              <w:spacing w:after="160" w:line="256" w:lineRule="auto"/>
              <w:rPr>
                <w:rFonts w:ascii="Calibri" w:hAnsi="Calibri" w:eastAsia="Calibri" w:cs="Calibri"/>
                <w:i/>
                <w:iCs/>
                <w:noProof/>
                <w:color w:val="FAE9D7"/>
                <w:sz w:val="18"/>
              </w:rPr>
            </w:pPr>
          </w:p>
        </w:tc>
      </w:tr>
      <w:tr w:rsidRPr="002A0300" w:rsidR="002A0300" w:rsidTr="00E11BE3" w14:paraId="7049CD46" w14:textId="77777777">
        <w:trPr>
          <w:cnfStyle w:val="000000100000" w:firstRow="0" w:lastRow="0" w:firstColumn="0" w:lastColumn="0" w:oddVBand="0" w:evenVBand="0" w:oddHBand="1" w:evenHBand="0" w:firstRowFirstColumn="0" w:firstRowLastColumn="0" w:lastRowFirstColumn="0" w:lastRowLastColumn="0"/>
          <w:trHeight w:val="2486"/>
        </w:trPr>
        <w:tc>
          <w:tcPr>
            <w:cnfStyle w:val="001000000000" w:firstRow="0" w:lastRow="0" w:firstColumn="1" w:lastColumn="0" w:oddVBand="0" w:evenVBand="0" w:oddHBand="0" w:evenHBand="0" w:firstRowFirstColumn="0" w:firstRowLastColumn="0" w:lastRowFirstColumn="0" w:lastRowLastColumn="0"/>
            <w:tcW w:w="3686" w:type="dxa"/>
            <w:shd w:val="clear" w:color="auto" w:fill="FAE9D7"/>
            <w:hideMark/>
          </w:tcPr>
          <w:p w:rsidRPr="002A0300" w:rsidR="002A0300" w:rsidP="002A0300" w:rsidRDefault="002A0300" w14:paraId="6C4277D3" w14:textId="77777777">
            <w:pPr>
              <w:rPr>
                <w:rFonts w:ascii="Calibri" w:hAnsi="Calibri" w:eastAsia="SimSun" w:cs="Times New Roman"/>
                <w:noProof/>
                <w:sz w:val="18"/>
                <w:szCs w:val="24"/>
              </w:rPr>
            </w:pPr>
            <w:r w:rsidRPr="002A0300">
              <w:rPr>
                <w:rFonts w:ascii="Calibri" w:hAnsi="Calibri" w:eastAsia="SimSun" w:cs="Times New Roman"/>
                <w:noProof/>
                <w:sz w:val="18"/>
                <w:lang w:eastAsia="zh-CN"/>
              </w:rPr>
              <w:drawing>
                <wp:inline distT="0" distB="0" distL="0" distR="0" wp14:anchorId="1EC481B0" wp14:editId="2C3D59B1">
                  <wp:extent cx="2280920" cy="1743075"/>
                  <wp:effectExtent l="0" t="0" r="508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c>
          <w:tcPr>
            <w:tcW w:w="3974" w:type="dxa"/>
            <w:shd w:val="clear" w:color="auto" w:fill="FAE9D7"/>
          </w:tcPr>
          <w:p w:rsidRPr="002A0300" w:rsidR="002A0300" w:rsidP="002A0300" w:rsidRDefault="002A0300" w14:paraId="4CFBBB35" w14:textId="77777777">
            <w:pPr>
              <w:spacing w:after="160" w:line="256" w:lineRule="auto"/>
              <w:ind w:left="37"/>
              <w:cnfStyle w:val="000000100000" w:firstRow="0" w:lastRow="0" w:firstColumn="0" w:lastColumn="0" w:oddVBand="0" w:evenVBand="0" w:oddHBand="1" w:evenHBand="0" w:firstRowFirstColumn="0" w:firstRowLastColumn="0" w:lastRowFirstColumn="0" w:lastRowLastColumn="0"/>
              <w:rPr>
                <w:rFonts w:ascii="Calibri" w:hAnsi="Calibri" w:eastAsia="Calibri" w:cs="Calibri"/>
                <w:i/>
                <w:iCs/>
                <w:noProof/>
                <w:sz w:val="18"/>
                <w:u w:val="single"/>
              </w:rPr>
            </w:pPr>
            <w:r w:rsidRPr="002A0300">
              <w:rPr>
                <w:rFonts w:ascii="Calibri" w:hAnsi="Calibri" w:eastAsia="SimSun" w:cs="Times New Roman"/>
                <w:noProof/>
                <w:sz w:val="18"/>
                <w:lang w:eastAsia="zh-CN"/>
              </w:rPr>
              <w:drawing>
                <wp:inline distT="0" distB="0" distL="0" distR="0" wp14:anchorId="3F1CEA63" wp14:editId="41AD8177">
                  <wp:extent cx="2359025" cy="1743389"/>
                  <wp:effectExtent l="0" t="0" r="317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r>
      <w:tr w:rsidRPr="002A0300" w:rsidR="002A0300" w:rsidTr="00E11BE3" w14:paraId="046D45E2" w14:textId="77777777">
        <w:trPr>
          <w:trHeight w:val="52"/>
        </w:trPr>
        <w:tc>
          <w:tcPr>
            <w:cnfStyle w:val="001000000000" w:firstRow="0" w:lastRow="0" w:firstColumn="1" w:lastColumn="0" w:oddVBand="0" w:evenVBand="0" w:oddHBand="0" w:evenHBand="0" w:firstRowFirstColumn="0" w:firstRowLastColumn="0" w:lastRowFirstColumn="0" w:lastRowLastColumn="0"/>
            <w:tcW w:w="7660" w:type="dxa"/>
            <w:gridSpan w:val="2"/>
            <w:shd w:val="clear" w:color="auto" w:fill="FAE9D7"/>
          </w:tcPr>
          <w:p w:rsidRPr="002A0300" w:rsidR="002A0300" w:rsidP="002A0300" w:rsidRDefault="002A0300" w14:paraId="5A54DB48" w14:textId="77777777">
            <w:pPr>
              <w:spacing w:line="256" w:lineRule="auto"/>
              <w:ind w:left="37"/>
              <w:rPr>
                <w:rFonts w:ascii="Calibri" w:hAnsi="Calibri" w:eastAsia="SimSun" w:cs="Times New Roman"/>
                <w:noProof/>
                <w:sz w:val="18"/>
                <w:szCs w:val="24"/>
                <w:lang w:eastAsia="zh-CN"/>
              </w:rPr>
            </w:pPr>
            <w:r w:rsidRPr="002A0300">
              <w:rPr>
                <w:rFonts w:ascii="Calibri" w:hAnsi="Calibri" w:eastAsia="SimSun" w:cs="Times New Roman"/>
                <w:noProof/>
                <w:sz w:val="18"/>
                <w:szCs w:val="24"/>
              </w:rPr>
              <w:t xml:space="preserve">*  </w:t>
            </w:r>
            <w:r w:rsidRPr="002A0300">
              <w:rPr>
                <w:rFonts w:ascii="Calibri" w:hAnsi="Calibri" w:eastAsia="SimSun" w:cs="Calibri"/>
                <w:i/>
                <w:iCs/>
                <w:noProof/>
                <w:sz w:val="18"/>
              </w:rPr>
              <w:t xml:space="preserve"> For the purpose of these graphs, ‘sovereign bonds’ consist of all sovereign exposures.</w:t>
            </w:r>
          </w:p>
        </w:tc>
      </w:tr>
    </w:tbl>
    <w:p w:rsidRPr="002A0300" w:rsidR="002A0300" w:rsidP="002A0300" w:rsidRDefault="002A0300" w14:paraId="6F1E91B7" w14:textId="49F956AD">
      <w:pPr>
        <w:spacing w:after="160" w:line="259" w:lineRule="auto"/>
        <w:ind w:left="1701"/>
        <w:rPr>
          <w:rFonts w:eastAsia="Calibri" w:asciiTheme="minorBidi" w:hAnsiTheme="minorBidi"/>
          <w:noProof/>
        </w:rPr>
      </w:pPr>
    </w:p>
    <w:p w:rsidRPr="002A0300" w:rsidR="002A0300" w:rsidP="002A0300" w:rsidRDefault="002A0300" w14:paraId="02C9168A" w14:textId="5D595F0B">
      <w:pPr>
        <w:ind w:left="426"/>
        <w:rPr>
          <w:rFonts w:asciiTheme="minorBidi" w:hAnsiTheme="minorBidi"/>
          <w:noProof/>
          <w:sz w:val="24"/>
          <w:szCs w:val="24"/>
          <w:lang w:eastAsia="zh-CN"/>
        </w:rPr>
      </w:pPr>
    </w:p>
    <w:p w:rsidRPr="002A0300" w:rsidR="002A0300" w:rsidP="002A0300" w:rsidRDefault="002A0300" w14:paraId="777265C0" w14:textId="77777777">
      <w:pPr>
        <w:ind w:left="720"/>
        <w:contextualSpacing/>
        <w:rPr>
          <w:rFonts w:eastAsia="Calibri" w:asciiTheme="minorBidi" w:hAnsiTheme="minorBidi"/>
          <w:b/>
          <w:noProof/>
          <w:lang w:eastAsia="zh-CN"/>
        </w:rPr>
      </w:pPr>
    </w:p>
    <w:p w:rsidRPr="002A0300" w:rsidR="002A0300" w:rsidP="002A0300" w:rsidRDefault="002A0300" w14:paraId="7AB66ABD" w14:textId="77777777">
      <w:pPr>
        <w:ind w:left="567"/>
        <w:rPr>
          <w:rFonts w:eastAsia="SimSun" w:asciiTheme="minorBidi" w:hAnsiTheme="minorBidi"/>
          <w:b/>
          <w:bCs/>
          <w:i/>
          <w:iCs/>
          <w:noProof/>
          <w:lang w:val="en-US" w:eastAsia="zh-CN"/>
        </w:rPr>
      </w:pPr>
      <w:r w:rsidRPr="002A0300">
        <w:rPr>
          <w:rFonts w:eastAsia="SimSun" w:asciiTheme="minorBidi" w:hAnsiTheme="minorBidi"/>
          <w:b/>
          <w:bCs/>
          <w:i/>
          <w:iCs/>
          <w:noProof/>
          <w:lang w:eastAsia="zh-CN"/>
        </w:rPr>
        <mc:AlternateContent>
          <mc:Choice Requires="wps">
            <w:drawing>
              <wp:anchor distT="0" distB="0" distL="114300" distR="114300" simplePos="0" relativeHeight="251658252" behindDoc="0" locked="0" layoutInCell="1" allowOverlap="1" wp14:editId="43C749EC" wp14:anchorId="71437408">
                <wp:simplePos x="0" y="0"/>
                <wp:positionH relativeFrom="column">
                  <wp:posOffset>198120</wp:posOffset>
                </wp:positionH>
                <wp:positionV relativeFrom="paragraph">
                  <wp:posOffset>13335</wp:posOffset>
                </wp:positionV>
                <wp:extent cx="130175" cy="130175"/>
                <wp:effectExtent l="0" t="0" r="3175" b="3175"/>
                <wp:wrapNone/>
                <wp:docPr id="84" name="Oval 8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4" style="position:absolute;margin-left:15.6pt;margin-top:1.05pt;width:10.25pt;height:10.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" w14:anchorId="1A381C8F">
                <v:stroke joinstyle="miter"/>
              </v:oval>
            </w:pict>
          </mc:Fallback>
        </mc:AlternateContent>
      </w:r>
      <w:r w:rsidRPr="002A0300">
        <w:rPr>
          <w:rFonts w:eastAsia="SimSun" w:asciiTheme="minorBidi" w:hAnsiTheme="minorBidi"/>
          <w:b/>
          <w:bCs/>
          <w:i/>
          <w:iCs/>
          <w:noProof/>
          <w:lang w:val="en-US" w:eastAsia="zh-CN"/>
        </w:rPr>
        <w:t xml:space="preserve">What is the minimum share of investments in transitional and enabling activities? </w:t>
      </w:r>
    </w:p>
    <w:p w:rsidRPr="002A0300" w:rsidR="002A0300" w:rsidP="002A0300" w:rsidRDefault="002A0300" w14:paraId="4329CC78" w14:textId="54F92850">
      <w:pPr>
        <w:ind w:left="567"/>
        <w:rPr>
          <w:rFonts w:eastAsia="SimSun" w:asciiTheme="minorBidi" w:hAnsiTheme="minorBidi"/>
          <w:b/>
          <w:bCs/>
          <w:i/>
          <w:iCs/>
          <w:noProof/>
          <w:lang w:val="en-US" w:eastAsia="zh-CN"/>
        </w:rPr>
      </w:pPr>
    </w:p>
    <w:p w:rsidRPr="002A0300" w:rsidR="002A0300" w:rsidP="002A0300" w:rsidRDefault="002A0300" w14:paraId="35960284" w14:textId="41DCBD18">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Not applicable. The Sub-Fund has no minimum proportion of investment in transitional or enabling activities</w:t>
      </w:r>
    </w:p>
    <w:p w:rsidRPr="002A0300" w:rsidR="002A0300" w:rsidP="002A0300" w:rsidRDefault="002A0300" w14:paraId="56EB6382" w14:textId="6289CC49">
      <w:pPr>
        <w:ind w:left="851"/>
        <w:rPr>
          <w:rFonts w:eastAsia="SimSun" w:asciiTheme="minorBidi" w:hAnsiTheme="minorBidi"/>
          <w:b/>
          <w:bCs/>
          <w:i/>
          <w:iCs/>
          <w:noProof/>
          <w:lang w:val="en-US" w:eastAsia="zh-CN"/>
        </w:rPr>
      </w:pPr>
      <w:r w:rsidRPr="002A0300">
        <w:rPr>
          <w:rFonts w:eastAsia="SimSun" w:asciiTheme="minorBidi" w:hAnsiTheme="minorBidi"/>
          <w:noProof/>
          <w:szCs w:val="24"/>
          <w:highlight w:val="yellow"/>
          <w:lang w:eastAsia="zh-CN"/>
        </w:rPr>
        <w:drawing>
          <wp:anchor distT="0" distB="0" distL="114300" distR="114300" simplePos="0" relativeHeight="251658273" behindDoc="0" locked="0" layoutInCell="1" allowOverlap="1" wp14:editId="06F8AB44" wp14:anchorId="4F6BB5AE">
            <wp:simplePos x="0" y="0"/>
            <wp:positionH relativeFrom="leftMargin">
              <wp:posOffset>1816100</wp:posOffset>
            </wp:positionH>
            <wp:positionV relativeFrom="paragraph">
              <wp:posOffset>128905</wp:posOffset>
            </wp:positionV>
            <wp:extent cx="360000" cy="360000"/>
            <wp:effectExtent l="0" t="0" r="2540" b="2540"/>
            <wp:wrapSquare wrapText="bothSides"/>
            <wp:docPr id="197"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rsidRPr="002A0300" w:rsidR="002A0300" w:rsidP="002A0300" w:rsidRDefault="002A0300" w14:paraId="1F555F1A" w14:textId="77777777">
      <w:pPr>
        <w:ind w:left="567"/>
        <w:rPr>
          <w:rFonts w:eastAsia="SimSun" w:asciiTheme="minorBidi" w:hAnsiTheme="minorBidi"/>
          <w:b/>
          <w:bCs/>
          <w:i/>
          <w:iCs/>
          <w:noProof/>
          <w:sz w:val="32"/>
          <w:lang w:eastAsia="zh-CN"/>
        </w:rPr>
      </w:pPr>
      <w:r w:rsidRPr="002A0300">
        <w:rPr>
          <w:rFonts w:eastAsia="Calibri" w:asciiTheme="minorBidi" w:hAnsiTheme="minorBidi"/>
          <w:b/>
          <w:bCs/>
          <w:noProof/>
          <w:sz w:val="24"/>
          <w:szCs w:val="24"/>
        </w:rPr>
        <w:t>What is the minimum share of sustainable investments with an environmental objective that are not aligned with the EU Taxonomy?</w:t>
      </w:r>
      <w:r w:rsidRPr="002A0300">
        <w:rPr>
          <w:rFonts w:eastAsia="SimSun" w:asciiTheme="minorBidi" w:hAnsiTheme="minorBidi"/>
          <w:b/>
          <w:bCs/>
          <w:i/>
          <w:iCs/>
          <w:noProof/>
          <w:sz w:val="32"/>
          <w:lang w:eastAsia="zh-CN"/>
        </w:rPr>
        <w:t xml:space="preserve"> </w:t>
      </w:r>
    </w:p>
    <w:p w:rsidRPr="002A0300" w:rsidR="002A0300" w:rsidP="002A0300" w:rsidRDefault="002A0300" w14:paraId="292E1900" w14:textId="77777777">
      <w:pPr>
        <w:spacing w:after="160" w:line="259" w:lineRule="auto"/>
        <w:ind w:left="993"/>
        <w:rPr>
          <w:rFonts w:eastAsia="Calibri" w:asciiTheme="minorBidi" w:hAnsiTheme="minorBidi"/>
          <w:noProof/>
          <w:color w:val="000000"/>
        </w:rPr>
      </w:pPr>
    </w:p>
    <w:p w:rsidRPr="002A0300" w:rsidR="002A0300" w:rsidP="002A0300" w:rsidRDefault="002A0300" w14:paraId="6881E373" w14:textId="77777777">
      <w:pPr>
        <w:spacing w:after="160" w:line="259" w:lineRule="auto"/>
        <w:ind w:left="993"/>
        <w:rPr>
          <w:rFonts w:eastAsia="SimSun" w:asciiTheme="minorBidi" w:hAnsiTheme="minorBidi"/>
          <w:color w:val="000000"/>
          <w:lang w:val="en-US" w:eastAsia="zh-CN"/>
        </w:rPr>
      </w:pPr>
      <w:r w:rsidRPr="002A0300">
        <w:rPr>
          <w:rFonts w:eastAsia="Calibri" w:asciiTheme="minorBidi" w:hAnsiTheme="minorBidi"/>
          <w:noProof/>
          <w:color w:val="000000"/>
        </w:rPr>
        <w:t xml:space="preserve">Not </w:t>
      </w:r>
      <w:bookmarkStart w:name="_Hlk158109860" w:id="149"/>
      <w:r w:rsidRPr="002A0300">
        <w:rPr>
          <w:rFonts w:eastAsia="Calibri" w:asciiTheme="minorBidi" w:hAnsiTheme="minorBidi"/>
          <w:noProof/>
          <w:color w:val="000000"/>
        </w:rPr>
        <w:t xml:space="preserve">applicable. </w:t>
      </w:r>
      <w:r w:rsidRPr="002A0300">
        <w:rPr>
          <w:rFonts w:eastAsia="SimSun" w:asciiTheme="minorBidi" w:hAnsiTheme="minorBidi"/>
          <w:color w:val="000000"/>
          <w:lang w:val="en-US" w:eastAsia="zh-CN"/>
        </w:rPr>
        <w:t xml:space="preserve">The Sub-Fund promotes environmental </w:t>
      </w:r>
      <w:proofErr w:type="gramStart"/>
      <w:r w:rsidRPr="002A0300">
        <w:rPr>
          <w:rFonts w:eastAsia="SimSun" w:asciiTheme="minorBidi" w:hAnsiTheme="minorBidi"/>
          <w:color w:val="000000"/>
          <w:lang w:val="en-US" w:eastAsia="zh-CN"/>
        </w:rPr>
        <w:t>characteristics</w:t>
      </w:r>
      <w:proofErr w:type="gramEnd"/>
      <w:r w:rsidRPr="002A0300">
        <w:rPr>
          <w:rFonts w:eastAsia="SimSun" w:asciiTheme="minorBidi" w:hAnsiTheme="minorBidi"/>
          <w:color w:val="000000"/>
          <w:lang w:val="en-US" w:eastAsia="zh-CN"/>
        </w:rPr>
        <w:t xml:space="preserve"> but it does not commit itself to </w:t>
      </w:r>
      <w:proofErr w:type="gramStart"/>
      <w:r w:rsidRPr="002A0300">
        <w:rPr>
          <w:rFonts w:eastAsia="SimSun" w:asciiTheme="minorBidi" w:hAnsiTheme="minorBidi"/>
          <w:color w:val="000000"/>
          <w:lang w:val="en-US" w:eastAsia="zh-CN"/>
        </w:rPr>
        <w:t>make</w:t>
      </w:r>
      <w:proofErr w:type="gramEnd"/>
      <w:r w:rsidRPr="002A0300">
        <w:rPr>
          <w:rFonts w:eastAsia="SimSun" w:asciiTheme="minorBidi" w:hAnsiTheme="minorBidi"/>
          <w:color w:val="000000"/>
          <w:lang w:val="en-US" w:eastAsia="zh-CN"/>
        </w:rPr>
        <w:t xml:space="preserve"> sustainable investments within the meaning of art. 2(17) of Regulation (EU) 2019/2088.</w:t>
      </w:r>
      <w:bookmarkEnd w:id="149"/>
    </w:p>
    <w:p w:rsidRPr="002A0300" w:rsidR="002A0300" w:rsidP="002A0300" w:rsidRDefault="002A0300" w14:paraId="59FF936F"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The Sub-Fund does not promote the specific environmental objectives set out in Regulation (EU) 2020/852. The sustainable investments made by the Sub-Fund do not take into account the European Union's technical criteria for environmentally sustainable economic activities.</w:t>
      </w:r>
    </w:p>
    <w:p w:rsidRPr="002A0300" w:rsidR="002A0300" w:rsidP="002A0300" w:rsidRDefault="002A0300" w14:paraId="3CC7EF4D" w14:textId="77777777">
      <w:pPr>
        <w:ind w:left="567"/>
        <w:rPr>
          <w:rFonts w:eastAsia="Calibri" w:asciiTheme="minorBidi" w:hAnsiTheme="minorBidi"/>
          <w:i/>
          <w:noProof/>
          <w:color w:val="C00000"/>
          <w:sz w:val="18"/>
          <w:lang w:eastAsia="zh-CN"/>
        </w:rPr>
      </w:pPr>
    </w:p>
    <w:p w:rsidRPr="002A0300" w:rsidR="002A0300" w:rsidP="002A0300" w:rsidRDefault="002A0300" w14:paraId="5D343EFA" w14:textId="77777777">
      <w:pPr>
        <w:ind w:left="567"/>
        <w:rPr>
          <w:rFonts w:eastAsia="Calibri" w:asciiTheme="minorBidi" w:hAnsiTheme="minorBidi"/>
          <w:bCs/>
          <w:i/>
          <w:iCs/>
          <w:noProof/>
          <w:color w:val="C00000"/>
          <w:sz w:val="18"/>
        </w:rPr>
      </w:pPr>
      <w:r w:rsidRPr="002A0300">
        <w:rPr>
          <w:rFonts w:eastAsia="SimSun" w:asciiTheme="minorBidi" w:hAnsiTheme="minorBidi"/>
          <w:noProof/>
          <w:lang w:eastAsia="zh-CN"/>
        </w:rPr>
        <w:drawing>
          <wp:anchor distT="0" distB="0" distL="114300" distR="114300" simplePos="0" relativeHeight="251658286" behindDoc="0" locked="0" layoutInCell="1" allowOverlap="1" wp14:editId="3056EFE5" wp14:anchorId="2B03155A">
            <wp:simplePos x="0" y="0"/>
            <wp:positionH relativeFrom="column">
              <wp:posOffset>-186690</wp:posOffset>
            </wp:positionH>
            <wp:positionV relativeFrom="paragraph">
              <wp:posOffset>1972</wp:posOffset>
            </wp:positionV>
            <wp:extent cx="360000" cy="360000"/>
            <wp:effectExtent l="0" t="0" r="2540" b="2540"/>
            <wp:wrapNone/>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Pr="002A0300">
        <w:rPr>
          <w:rFonts w:eastAsia="Calibri" w:asciiTheme="minorBidi" w:hAnsiTheme="minorBidi"/>
          <w:b/>
          <w:bCs/>
          <w:noProof/>
          <w:sz w:val="24"/>
          <w:szCs w:val="24"/>
        </w:rPr>
        <w:t>What is the minimum share of socially sustainable investments?</w:t>
      </w:r>
      <w:r w:rsidRPr="002A0300">
        <w:rPr>
          <w:rFonts w:eastAsia="SimSun" w:asciiTheme="minorBidi" w:hAnsiTheme="minorBidi"/>
          <w:b/>
          <w:bCs/>
          <w:i/>
          <w:iCs/>
          <w:noProof/>
          <w:sz w:val="32"/>
          <w:lang w:eastAsia="zh-CN"/>
        </w:rPr>
        <w:t xml:space="preserve"> </w:t>
      </w:r>
    </w:p>
    <w:p w:rsidRPr="002A0300" w:rsidR="002A0300" w:rsidP="002A0300" w:rsidRDefault="002A0300" w14:paraId="3860ED23" w14:textId="77777777">
      <w:pPr>
        <w:ind w:left="567"/>
        <w:rPr>
          <w:rFonts w:eastAsia="Calibri" w:asciiTheme="minorBidi" w:hAnsiTheme="minorBidi"/>
          <w:noProof/>
          <w:color w:val="000000"/>
        </w:rPr>
      </w:pPr>
    </w:p>
    <w:p w:rsidRPr="002A0300" w:rsidR="002A0300" w:rsidP="002A0300" w:rsidRDefault="002A0300" w14:paraId="79763C44"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 xml:space="preserve">Not applicable. </w:t>
      </w:r>
      <w:r w:rsidRPr="002A0300">
        <w:rPr>
          <w:rFonts w:eastAsia="SimSun" w:asciiTheme="minorBidi" w:hAnsiTheme="minorBidi"/>
          <w:color w:val="000000"/>
          <w:lang w:val="en-US" w:eastAsia="zh-CN"/>
        </w:rPr>
        <w:t>The Sub-Fund has no defined minimum share of sustainable investments with a social objective.</w:t>
      </w:r>
    </w:p>
    <w:p w:rsidRPr="002A0300" w:rsidR="002A0300" w:rsidP="002A0300" w:rsidRDefault="002A0300" w14:paraId="47F2F3C4" w14:textId="44F6AABC">
      <w:pPr>
        <w:spacing w:after="160" w:line="259" w:lineRule="auto"/>
        <w:rPr>
          <w:rFonts w:eastAsia="Calibri" w:asciiTheme="minorBidi" w:hAnsiTheme="minorBidi"/>
          <w:noProof/>
        </w:rPr>
      </w:pPr>
    </w:p>
    <w:p w:rsidRPr="002A0300" w:rsidR="002A0300" w:rsidP="002A0300" w:rsidRDefault="002A0300" w14:paraId="4E7E71CE" w14:textId="4600BFAB">
      <w:pPr>
        <w:ind w:left="567"/>
        <w:rPr>
          <w:rFonts w:eastAsia="Calibri" w:asciiTheme="minorBidi" w:hAnsiTheme="minorBidi"/>
          <w:b/>
          <w:bCs/>
          <w:noProof/>
          <w:sz w:val="24"/>
          <w:szCs w:val="24"/>
        </w:rPr>
      </w:pPr>
      <w:r w:rsidRPr="002A0300">
        <w:rPr>
          <w:rFonts w:eastAsia="Calibri" w:asciiTheme="minorBidi" w:hAnsiTheme="minorBidi"/>
          <w:b/>
          <w:bCs/>
          <w:noProof/>
          <w:sz w:val="24"/>
          <w:szCs w:val="24"/>
          <w:lang w:eastAsia="zh-CN"/>
        </w:rPr>
        <w:drawing>
          <wp:anchor distT="0" distB="0" distL="114300" distR="114300" simplePos="0" relativeHeight="251658274" behindDoc="0" locked="0" layoutInCell="1" allowOverlap="1" wp14:editId="3FBE8040" wp14:anchorId="123DE1A3">
            <wp:simplePos x="0" y="0"/>
            <wp:positionH relativeFrom="column">
              <wp:posOffset>-163830</wp:posOffset>
            </wp:positionH>
            <wp:positionV relativeFrom="paragraph">
              <wp:posOffset>11430</wp:posOffset>
            </wp:positionV>
            <wp:extent cx="359410" cy="359410"/>
            <wp:effectExtent l="0" t="0" r="2540" b="2540"/>
            <wp:wrapNone/>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Pr="002A0300">
        <w:rPr>
          <w:rFonts w:eastAsia="Calibri" w:asciiTheme="minorBidi" w:hAnsiTheme="minorBidi"/>
          <w:b/>
          <w:bCs/>
          <w:noProof/>
          <w:sz w:val="24"/>
          <w:szCs w:val="24"/>
        </w:rPr>
        <w:t>What investments are included under “#2 Other”, what is their purpose and are there any minimum environmental or social safeguards?</w:t>
      </w:r>
    </w:p>
    <w:p w:rsidRPr="002A0300" w:rsidR="002A0300" w:rsidP="002A0300" w:rsidRDefault="002A0300" w14:paraId="63E0D03D" w14:textId="77777777">
      <w:pPr>
        <w:spacing w:after="160" w:line="259" w:lineRule="auto"/>
        <w:rPr>
          <w:rFonts w:eastAsia="Calibri" w:asciiTheme="minorBidi" w:hAnsiTheme="minorBidi"/>
          <w:noProof/>
        </w:rPr>
      </w:pPr>
    </w:p>
    <w:p w:rsidRPr="002A0300" w:rsidR="002A0300" w:rsidP="002A0300" w:rsidRDefault="002A0300" w14:paraId="42A19D49" w14:textId="77777777">
      <w:pPr>
        <w:spacing w:after="160" w:line="259" w:lineRule="auto"/>
        <w:rPr>
          <w:rFonts w:eastAsia="Calibri" w:asciiTheme="minorBidi" w:hAnsiTheme="minorBidi"/>
          <w:noProof/>
        </w:rPr>
      </w:pPr>
      <w:r w:rsidRPr="002A0300">
        <w:rPr>
          <w:rFonts w:eastAsia="Calibri" w:asciiTheme="minorBidi" w:hAnsiTheme="minorBidi"/>
          <w:noProof/>
        </w:rPr>
        <w:t xml:space="preserve">Investment included in #2 Other are securities for which data is not available from the ESG data provider in use as described in more detail above, cash and cash equivalents </w:t>
      </w:r>
      <w:r w:rsidRPr="002A0300">
        <w:rPr>
          <w:rFonts w:eastAsia="Calibri" w:asciiTheme="minorBidi" w:hAnsiTheme="minorBidi"/>
          <w:noProof/>
        </w:rPr>
        <w:lastRenderedPageBreak/>
        <w:t>and derivatives. Their purpose is to reflect broad market exposure or to support the financial performance of the Sub-Fund.</w:t>
      </w:r>
    </w:p>
    <w:p w:rsidRPr="002A0300" w:rsidR="002A0300" w:rsidP="002A0300" w:rsidRDefault="002A0300" w14:paraId="4D1BCD4A" w14:textId="77777777">
      <w:pPr>
        <w:spacing w:after="160" w:line="259" w:lineRule="auto"/>
        <w:rPr>
          <w:rFonts w:eastAsia="Calibri" w:asciiTheme="minorBidi" w:hAnsiTheme="minorBidi"/>
          <w:noProof/>
        </w:rPr>
      </w:pPr>
      <w:r w:rsidRPr="002A0300">
        <w:rPr>
          <w:rFonts w:eastAsia="Calibri" w:asciiTheme="minorBidi" w:hAnsiTheme="minorBidi"/>
          <w:noProof/>
        </w:rPr>
        <w:t>As a minimum environmental and social safeguard, the Investment Manager applies its exclusion policy to all investments, including those classified under #2 Other, to the extent applicable to the investment’s asset class.</w:t>
      </w:r>
    </w:p>
    <w:p w:rsidRPr="002A0300" w:rsidR="002A0300" w:rsidP="002A0300" w:rsidRDefault="002A0300" w14:paraId="3E9F6C92" w14:textId="77777777">
      <w:pPr>
        <w:spacing w:after="160" w:line="259" w:lineRule="auto"/>
        <w:rPr>
          <w:rFonts w:eastAsia="Calibri" w:asciiTheme="minorBidi" w:hAnsiTheme="minorBidi"/>
          <w:noProof/>
        </w:rPr>
      </w:pPr>
      <w:r w:rsidRPr="002A0300">
        <w:rPr>
          <w:rFonts w:eastAsia="SimSun" w:asciiTheme="minorBidi" w:hAnsiTheme="minorBidi"/>
          <w:noProof/>
          <w:szCs w:val="24"/>
          <w:lang w:eastAsia="zh-CN"/>
        </w:rPr>
        <w:drawing>
          <wp:anchor distT="0" distB="0" distL="114300" distR="114300" simplePos="0" relativeHeight="251658263" behindDoc="0" locked="0" layoutInCell="1" allowOverlap="1" wp14:editId="7E76B50E" wp14:anchorId="5AC62498">
            <wp:simplePos x="0" y="0"/>
            <wp:positionH relativeFrom="leftMargin">
              <wp:align>right</wp:align>
            </wp:positionH>
            <wp:positionV relativeFrom="paragraph">
              <wp:posOffset>162492</wp:posOffset>
            </wp:positionV>
            <wp:extent cx="1704975" cy="600075"/>
            <wp:effectExtent l="0" t="0" r="9525" b="9525"/>
            <wp:wrapSquare wrapText="bothSides"/>
            <wp:docPr id="231"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96DAC541-7B7A-43D3-8B79-37D633B846F1}">
                          <asvg:svgBlip xmlns:asvg="http://schemas.microsoft.com/office/drawing/2016/SVG/main" r:embed="rId53"/>
                        </a:ext>
                      </a:extLst>
                    </a:blip>
                    <a:stretch>
                      <a:fillRect/>
                    </a:stretch>
                  </pic:blipFill>
                  <pic:spPr>
                    <a:xfrm>
                      <a:off x="0" y="0"/>
                      <a:ext cx="1704975" cy="600075"/>
                    </a:xfrm>
                    <a:prstGeom prst="rect">
                      <a:avLst/>
                    </a:prstGeom>
                  </pic:spPr>
                </pic:pic>
              </a:graphicData>
            </a:graphic>
          </wp:anchor>
        </w:drawing>
      </w:r>
    </w:p>
    <w:p w:rsidRPr="002A0300" w:rsidR="002A0300" w:rsidP="002A0300" w:rsidRDefault="002A0300" w14:paraId="0514EAF8" w14:textId="77777777">
      <w:pPr>
        <w:tabs>
          <w:tab w:val="left" w:pos="1418"/>
        </w:tabs>
        <w:spacing w:after="160" w:line="259" w:lineRule="auto"/>
        <w:ind w:left="284"/>
        <w:rPr>
          <w:rFonts w:eastAsia="Calibri" w:asciiTheme="minorBidi" w:hAnsiTheme="minorBidi"/>
          <w:b/>
          <w:bCs/>
          <w:noProof/>
          <w:sz w:val="24"/>
          <w:szCs w:val="24"/>
        </w:rPr>
      </w:pPr>
      <w:r w:rsidRPr="002A0300">
        <w:rPr>
          <w:rFonts w:eastAsia="Calibri" w:asciiTheme="minorBidi" w:hAnsiTheme="minorBidi"/>
          <w:noProof/>
          <w:sz w:val="18"/>
          <w:szCs w:val="18"/>
          <w:lang w:eastAsia="zh-CN"/>
        </w:rPr>
        <mc:AlternateContent>
          <mc:Choice Requires="wps">
            <w:drawing>
              <wp:anchor distT="0" distB="0" distL="114300" distR="114300" simplePos="0" relativeHeight="251658290" behindDoc="0" locked="0" layoutInCell="1" allowOverlap="1" wp14:editId="25E5C8CE" wp14:anchorId="2B0CD21F">
                <wp:simplePos x="0" y="0"/>
                <wp:positionH relativeFrom="page">
                  <wp:posOffset>3810</wp:posOffset>
                </wp:positionH>
                <wp:positionV relativeFrom="margin">
                  <wp:posOffset>3337121</wp:posOffset>
                </wp:positionV>
                <wp:extent cx="1200150" cy="3420745"/>
                <wp:effectExtent l="0" t="0" r="0" b="8255"/>
                <wp:wrapSquare wrapText="bothSides"/>
                <wp:docPr id="368" name="Rectangle 368"/>
                <wp:cNvGraphicFramePr/>
                <a:graphic xmlns:a="http://schemas.openxmlformats.org/drawingml/2006/main">
                  <a:graphicData uri="http://schemas.microsoft.com/office/word/2010/wordprocessingShape">
                    <wps:wsp>
                      <wps:cNvSpPr/>
                      <wps:spPr>
                        <a:xfrm>
                          <a:off x="0" y="0"/>
                          <a:ext cx="1200150" cy="3420745"/>
                        </a:xfrm>
                        <a:prstGeom prst="rect">
                          <a:avLst/>
                        </a:prstGeom>
                        <a:solidFill>
                          <a:sysClr val="window" lastClr="FFFFFF">
                            <a:lumMod val="95000"/>
                          </a:sysClr>
                        </a:solidFill>
                        <a:ln w="12700" cap="flat" cmpd="sng" algn="ctr">
                          <a:noFill/>
                          <a:prstDash val="solid"/>
                          <a:miter lim="800000"/>
                        </a:ln>
                        <a:effectLst/>
                      </wps:spPr>
                      <wps:txbx>
                        <w:txbxContent>
                          <w:p w:rsidRPr="00E82CB3" w:rsidR="002A0300" w:rsidP="002A0300" w:rsidRDefault="002A0300" w14:paraId="63196477" w14:textId="77777777">
                            <w:pPr>
                              <w:ind w:left="-142" w:right="-197"/>
                              <w:rPr>
                                <w:rFonts w:asciiTheme="minorHAnsi" w:hAnsiTheme="minorHAnsi" w:cstheme="minorHAnsi"/>
                                <w:color w:val="000000"/>
                                <w:sz w:val="20"/>
                              </w:rPr>
                            </w:pPr>
                            <w:r w:rsidRPr="00DD02AC">
                              <w:rPr>
                                <w:rFonts w:asciiTheme="minorHAnsi" w:hAnsiTheme="minorHAnsi" w:cstheme="minorHAnsi"/>
                                <w:b/>
                                <w:bCs/>
                                <w:color w:val="000000"/>
                                <w:sz w:val="20"/>
                              </w:rPr>
                              <w:t>Reference benchmarks</w:t>
                            </w:r>
                            <w:r w:rsidRPr="00DD02AC">
                              <w:rPr>
                                <w:rFonts w:asciiTheme="minorHAnsi" w:hAnsiTheme="minorHAnsi" w:cstheme="minorHAnsi"/>
                                <w:color w:val="000000"/>
                                <w:sz w:val="20"/>
                              </w:rPr>
                              <w:t xml:space="preserve"> are indexes to measure whether the financial product </w:t>
                            </w:r>
                            <w:bookmarkStart w:name="_Hlk76164226" w:id="150"/>
                            <w:bookmarkStart w:name="_Hlk76164227" w:id="151"/>
                            <w:bookmarkStart w:name="_Hlk76164252" w:id="152"/>
                            <w:bookmarkStart w:name="_Hlk76164253" w:id="153"/>
                            <w:bookmarkStart w:name="_Hlk76164254" w:id="154"/>
                            <w:bookmarkStart w:name="_Hlk76164255" w:id="155"/>
                            <w:bookmarkStart w:name="_Hlk76164256" w:id="156"/>
                            <w:bookmarkStart w:name="_Hlk76164257" w:id="157"/>
                            <w:bookmarkStart w:name="_Hlk76164258" w:id="158"/>
                            <w:bookmarkStart w:name="_Hlk76164259" w:id="159"/>
                            <w:bookmarkStart w:name="_Hlk76164260" w:id="160"/>
                            <w:bookmarkStart w:name="_Hlk76164261" w:id="161"/>
                            <w:bookmarkStart w:name="_Hlk76164262" w:id="162"/>
                            <w:bookmarkStart w:name="_Hlk76164263" w:id="163"/>
                            <w:bookmarkStart w:name="_Hlk76164264" w:id="164"/>
                            <w:bookmarkStart w:name="_Hlk76164265" w:id="165"/>
                            <w:bookmarkStart w:name="_Hlk76164266" w:id="166"/>
                            <w:bookmarkStart w:name="_Hlk76164267" w:id="167"/>
                            <w:bookmarkStart w:name="_Hlk76164268" w:id="168"/>
                            <w:bookmarkStart w:name="_Hlk76164269" w:id="169"/>
                            <w:bookmarkStart w:name="_Hlk76164270" w:id="170"/>
                            <w:bookmarkStart w:name="_Hlk76164271" w:id="171"/>
                            <w:bookmarkStart w:name="_Hlk76164272" w:id="172"/>
                            <w:bookmarkStart w:name="_Hlk76164273" w:id="173"/>
                            <w:r w:rsidRPr="00DD02AC">
                              <w:rPr>
                                <w:rFonts w:asciiTheme="minorHAnsi" w:hAnsiTheme="minorHAnsi" w:cstheme="minorHAnsi"/>
                                <w:color w:val="000000"/>
                                <w:sz w:val="20"/>
                                <w:lang w:val="en-US"/>
                              </w:rPr>
                              <w:t>attains the environmental</w:t>
                            </w:r>
                            <w:r w:rsidRPr="00702082">
                              <w:rPr>
                                <w:rFonts w:asciiTheme="minorHAnsi" w:hAnsiTheme="minorHAnsi" w:cstheme="minorHAnsi"/>
                                <w:color w:val="000000"/>
                                <w:sz w:val="20"/>
                                <w:lang w:val="en-US"/>
                              </w:rPr>
                              <w:t xml:space="preserve"> or social characteristics that they promote.</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8" style="position:absolute;left:0;text-align:left;margin-left:.3pt;margin-top:262.75pt;width:94.5pt;height:269.35pt;z-index:25165829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38" fillcolor="#f2f2f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" w14:anchorId="2B0CD21F">
                <v:textbox inset="4mm,1mm,7mm">
                  <w:txbxContent>
                    <w:p w:rsidRPr="00E82CB3" w:rsidR="002A0300" w:rsidP="002A0300" w:rsidRDefault="002A0300" w14:paraId="63196477" w14:textId="77777777">
                      <w:pPr>
                        <w:ind w:left="-142" w:right="-197"/>
                        <w:rPr>
                          <w:rFonts w:asciiTheme="minorHAnsi" w:hAnsiTheme="minorHAnsi" w:cstheme="minorHAnsi"/>
                          <w:color w:val="000000"/>
                          <w:sz w:val="20"/>
                        </w:rPr>
                      </w:pPr>
                      <w:r w:rsidRPr="00DD02AC">
                        <w:rPr>
                          <w:rFonts w:asciiTheme="minorHAnsi" w:hAnsiTheme="minorHAnsi" w:cstheme="minorHAnsi"/>
                          <w:b/>
                          <w:bCs/>
                          <w:color w:val="000000"/>
                          <w:sz w:val="20"/>
                        </w:rPr>
                        <w:t>Reference benchmarks</w:t>
                      </w:r>
                      <w:r w:rsidRPr="00DD02AC">
                        <w:rPr>
                          <w:rFonts w:asciiTheme="minorHAnsi" w:hAnsiTheme="minorHAnsi" w:cstheme="minorHAnsi"/>
                          <w:color w:val="000000"/>
                          <w:sz w:val="20"/>
                        </w:rPr>
                        <w:t xml:space="preserve"> are indexes to measure whether the financial product </w:t>
                      </w:r>
                      <w:bookmarkStart w:name="_Hlk76164226" w:id="175"/>
                      <w:bookmarkStart w:name="_Hlk76164227" w:id="176"/>
                      <w:bookmarkStart w:name="_Hlk76164252" w:id="177"/>
                      <w:bookmarkStart w:name="_Hlk76164253" w:id="178"/>
                      <w:bookmarkStart w:name="_Hlk76164254" w:id="179"/>
                      <w:bookmarkStart w:name="_Hlk76164255" w:id="180"/>
                      <w:bookmarkStart w:name="_Hlk76164256" w:id="181"/>
                      <w:bookmarkStart w:name="_Hlk76164257" w:id="182"/>
                      <w:bookmarkStart w:name="_Hlk76164258" w:id="183"/>
                      <w:bookmarkStart w:name="_Hlk76164259" w:id="184"/>
                      <w:bookmarkStart w:name="_Hlk76164260" w:id="185"/>
                      <w:bookmarkStart w:name="_Hlk76164261" w:id="186"/>
                      <w:bookmarkStart w:name="_Hlk76164262" w:id="187"/>
                      <w:bookmarkStart w:name="_Hlk76164263" w:id="188"/>
                      <w:bookmarkStart w:name="_Hlk76164264" w:id="189"/>
                      <w:bookmarkStart w:name="_Hlk76164265" w:id="190"/>
                      <w:bookmarkStart w:name="_Hlk76164266" w:id="191"/>
                      <w:bookmarkStart w:name="_Hlk76164267" w:id="192"/>
                      <w:bookmarkStart w:name="_Hlk76164268" w:id="193"/>
                      <w:bookmarkStart w:name="_Hlk76164269" w:id="194"/>
                      <w:bookmarkStart w:name="_Hlk76164270" w:id="195"/>
                      <w:bookmarkStart w:name="_Hlk76164271" w:id="196"/>
                      <w:bookmarkStart w:name="_Hlk76164272" w:id="197"/>
                      <w:bookmarkStart w:name="_Hlk76164273" w:id="198"/>
                      <w:r w:rsidRPr="00DD02AC">
                        <w:rPr>
                          <w:rFonts w:asciiTheme="minorHAnsi" w:hAnsiTheme="minorHAnsi" w:cstheme="minorHAnsi"/>
                          <w:color w:val="000000"/>
                          <w:sz w:val="20"/>
                          <w:lang w:val="en-US"/>
                        </w:rPr>
                        <w:t>attains the environmental</w:t>
                      </w:r>
                      <w:r w:rsidRPr="00702082">
                        <w:rPr>
                          <w:rFonts w:asciiTheme="minorHAnsi" w:hAnsiTheme="minorHAnsi" w:cstheme="minorHAnsi"/>
                          <w:color w:val="000000"/>
                          <w:sz w:val="20"/>
                          <w:lang w:val="en-US"/>
                        </w:rPr>
                        <w:t xml:space="preserve"> or social characteristics that they promote.</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xbxContent>
                </v:textbox>
                <w10:wrap type="square" anchorx="page" anchory="margin"/>
              </v:rect>
            </w:pict>
          </mc:Fallback>
        </mc:AlternateContent>
      </w:r>
      <w:r w:rsidRPr="002A0300">
        <w:rPr>
          <w:rFonts w:eastAsia="Calibri" w:asciiTheme="minorBidi" w:hAnsiTheme="minorBidi"/>
          <w:b/>
          <w:bCs/>
          <w:noProof/>
          <w:sz w:val="24"/>
          <w:szCs w:val="24"/>
          <w:lang w:val="en-US"/>
        </w:rPr>
        <w:t>Is a specific index designated as a reference benchmark to determine whether this financial product is aligned with the environmental and/or social characteristics that it promotes</w:t>
      </w:r>
      <w:r w:rsidRPr="002A0300">
        <w:rPr>
          <w:rFonts w:eastAsia="Calibri" w:asciiTheme="minorBidi" w:hAnsiTheme="minorBidi"/>
          <w:b/>
          <w:bCs/>
          <w:noProof/>
          <w:sz w:val="24"/>
          <w:szCs w:val="24"/>
        </w:rPr>
        <w:t xml:space="preserve">? </w:t>
      </w:r>
      <w:bookmarkStart w:name="_Hlk76164642" w:id="174"/>
    </w:p>
    <w:p w:rsidRPr="002A0300" w:rsidR="002A0300" w:rsidP="002A0300" w:rsidRDefault="002A0300" w14:paraId="0E86DBFA"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No specific index has been designated as a reference benchmark to determine whether the Sub-Fund is aligned with the environmental and/or social characteristics that it promotes.</w:t>
      </w:r>
    </w:p>
    <w:p w:rsidRPr="002A0300" w:rsidR="002A0300" w:rsidP="002A0300" w:rsidRDefault="002A0300" w14:paraId="66B1BBEB" w14:textId="77777777">
      <w:pPr>
        <w:tabs>
          <w:tab w:val="left" w:pos="1418"/>
        </w:tabs>
        <w:spacing w:after="160" w:line="259" w:lineRule="auto"/>
        <w:ind w:left="284"/>
        <w:rPr>
          <w:rFonts w:eastAsia="Calibri" w:asciiTheme="minorBidi" w:hAnsiTheme="minorBidi"/>
          <w:bCs/>
          <w:i/>
          <w:noProof/>
          <w:color w:val="C00000"/>
          <w:sz w:val="20"/>
          <w:szCs w:val="18"/>
        </w:rPr>
      </w:pPr>
    </w:p>
    <w:bookmarkEnd w:id="174"/>
    <w:p w:rsidRPr="002A0300" w:rsidR="002A0300" w:rsidP="002A0300" w:rsidRDefault="002A0300" w14:paraId="4B8305C1" w14:textId="77777777">
      <w:pPr>
        <w:spacing w:after="160" w:line="259" w:lineRule="auto"/>
        <w:ind w:left="851"/>
        <w:rPr>
          <w:rFonts w:eastAsia="Calibri" w:asciiTheme="minorBidi" w:hAnsiTheme="minorBidi"/>
          <w:b/>
          <w:bCs/>
          <w:i/>
          <w:noProof/>
        </w:rPr>
      </w:pPr>
      <w:r w:rsidRPr="002A0300">
        <w:rPr>
          <w:rFonts w:eastAsia="Calibri" w:asciiTheme="minorBidi" w:hAnsiTheme="minorBidi"/>
          <w:b/>
          <w:bCs/>
          <w:i/>
          <w:noProof/>
          <w:lang w:eastAsia="zh-CN"/>
        </w:rPr>
        <mc:AlternateContent>
          <mc:Choice Requires="wps">
            <w:drawing>
              <wp:anchor distT="0" distB="0" distL="114300" distR="114300" simplePos="0" relativeHeight="251658261" behindDoc="0" locked="0" layoutInCell="1" allowOverlap="1" wp14:editId="1003FCBA" wp14:anchorId="7B553CA2">
                <wp:simplePos x="0" y="0"/>
                <wp:positionH relativeFrom="column">
                  <wp:posOffset>282344</wp:posOffset>
                </wp:positionH>
                <wp:positionV relativeFrom="paragraph">
                  <wp:posOffset>26035</wp:posOffset>
                </wp:positionV>
                <wp:extent cx="130175" cy="130175"/>
                <wp:effectExtent l="0" t="0" r="3175" b="3175"/>
                <wp:wrapNone/>
                <wp:docPr id="39" name="Oval 3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9" style="position:absolute;margin-left:22.25pt;margin-top:2.05pt;width:10.25pt;height:10.25pt;z-index:25165826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" w14:anchorId="7162AF49">
                <v:stroke joinstyle="miter"/>
              </v:oval>
            </w:pict>
          </mc:Fallback>
        </mc:AlternateContent>
      </w:r>
      <w:r w:rsidRPr="002A0300">
        <w:rPr>
          <w:rFonts w:eastAsia="Calibri" w:asciiTheme="minorBidi" w:hAnsiTheme="minorBidi"/>
          <w:b/>
          <w:bCs/>
          <w:i/>
          <w:noProof/>
        </w:rPr>
        <w:t xml:space="preserve">How is the reference benchmark continuously aligned with each of the environmental or social characteristics promoted by the financial product? </w:t>
      </w:r>
    </w:p>
    <w:p w:rsidRPr="002A0300" w:rsidR="002A0300" w:rsidP="002A0300" w:rsidRDefault="002A0300" w14:paraId="7C809FB7"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Not applicable.</w:t>
      </w:r>
    </w:p>
    <w:p w:rsidRPr="002A0300" w:rsidR="002A0300" w:rsidP="002A0300" w:rsidRDefault="002A0300" w14:paraId="6D7C312E" w14:textId="77777777">
      <w:pPr>
        <w:spacing w:after="160" w:line="259" w:lineRule="auto"/>
        <w:rPr>
          <w:rFonts w:eastAsia="Calibri" w:asciiTheme="minorBidi" w:hAnsiTheme="minorBidi"/>
          <w:bCs/>
          <w:i/>
          <w:noProof/>
          <w:color w:val="C00000"/>
        </w:rPr>
      </w:pPr>
    </w:p>
    <w:p w:rsidRPr="002A0300" w:rsidR="002A0300" w:rsidDel="00330891" w:rsidP="002A0300" w:rsidRDefault="002A0300" w14:paraId="50779BBC" w14:textId="77777777">
      <w:pPr>
        <w:spacing w:after="160" w:line="259" w:lineRule="auto"/>
        <w:ind w:left="851"/>
        <w:rPr>
          <w:rFonts w:eastAsia="Calibri" w:asciiTheme="minorBidi" w:hAnsiTheme="minorBidi"/>
          <w:b/>
          <w:bCs/>
          <w:i/>
          <w:noProof/>
        </w:rPr>
      </w:pPr>
      <w:r w:rsidRPr="002A0300" w:rsidDel="00330891">
        <w:rPr>
          <w:rFonts w:eastAsia="Calibri" w:asciiTheme="minorBidi" w:hAnsiTheme="minorBidi"/>
          <w:b/>
          <w:bCs/>
          <w:i/>
          <w:iCs/>
          <w:noProof/>
          <w:lang w:eastAsia="zh-CN"/>
        </w:rPr>
        <mc:AlternateContent>
          <mc:Choice Requires="wps">
            <w:drawing>
              <wp:anchor distT="0" distB="0" distL="114300" distR="114300" simplePos="0" relativeHeight="251658260" behindDoc="0" locked="0" layoutInCell="1" allowOverlap="1" wp14:editId="0A967553" wp14:anchorId="04033860">
                <wp:simplePos x="0" y="0"/>
                <wp:positionH relativeFrom="column">
                  <wp:posOffset>282344</wp:posOffset>
                </wp:positionH>
                <wp:positionV relativeFrom="paragraph">
                  <wp:posOffset>32385</wp:posOffset>
                </wp:positionV>
                <wp:extent cx="130175" cy="130175"/>
                <wp:effectExtent l="0" t="0" r="3175" b="3175"/>
                <wp:wrapNone/>
                <wp:docPr id="369" name="Oval 36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69" style="position:absolute;margin-left:22.25pt;margin-top:2.55pt;width:10.25pt;height:10.25pt;z-index:2516582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" w14:anchorId="75741287">
                <v:stroke joinstyle="miter"/>
              </v:oval>
            </w:pict>
          </mc:Fallback>
        </mc:AlternateContent>
      </w:r>
      <w:r w:rsidRPr="002A0300" w:rsidDel="00330891">
        <w:rPr>
          <w:rFonts w:eastAsia="Calibri" w:asciiTheme="minorBidi" w:hAnsiTheme="minorBidi"/>
          <w:b/>
          <w:bCs/>
          <w:i/>
          <w:noProof/>
        </w:rPr>
        <w:t>How is the alignment of the investment strategy with the methodology of the index ensured on a continuous basis?</w:t>
      </w:r>
    </w:p>
    <w:p w:rsidRPr="002A0300" w:rsidR="002A0300" w:rsidP="002A0300" w:rsidRDefault="002A0300" w14:paraId="179E560A"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Not applicable.</w:t>
      </w:r>
    </w:p>
    <w:p w:rsidRPr="002A0300" w:rsidR="002A0300" w:rsidP="002A0300" w:rsidRDefault="002A0300" w14:paraId="30576FD6" w14:textId="77777777">
      <w:pPr>
        <w:spacing w:after="160" w:line="259" w:lineRule="auto"/>
        <w:ind w:left="1701"/>
        <w:rPr>
          <w:rFonts w:eastAsia="Calibri" w:asciiTheme="minorBidi" w:hAnsiTheme="minorBidi"/>
          <w:b/>
          <w:bCs/>
          <w:i/>
          <w:noProof/>
        </w:rPr>
      </w:pPr>
    </w:p>
    <w:p w:rsidRPr="002A0300" w:rsidR="002A0300" w:rsidP="002A0300" w:rsidRDefault="002A0300" w14:paraId="256A330B" w14:textId="77777777">
      <w:pPr>
        <w:spacing w:after="160" w:line="259" w:lineRule="auto"/>
        <w:ind w:left="851"/>
        <w:rPr>
          <w:rFonts w:eastAsia="Calibri" w:asciiTheme="minorBidi" w:hAnsiTheme="minorBidi"/>
          <w:b/>
          <w:bCs/>
          <w:i/>
          <w:noProof/>
        </w:rPr>
      </w:pPr>
      <w:r w:rsidRPr="002A0300">
        <w:rPr>
          <w:rFonts w:eastAsia="Calibri" w:asciiTheme="minorBidi" w:hAnsiTheme="minorBidi"/>
          <w:b/>
          <w:bCs/>
          <w:i/>
          <w:iCs/>
          <w:noProof/>
          <w:lang w:eastAsia="zh-CN"/>
        </w:rPr>
        <mc:AlternateContent>
          <mc:Choice Requires="wps">
            <w:drawing>
              <wp:anchor distT="0" distB="0" distL="114300" distR="114300" simplePos="0" relativeHeight="251658254" behindDoc="0" locked="0" layoutInCell="1" allowOverlap="1" wp14:editId="5C241B5E" wp14:anchorId="491F9857">
                <wp:simplePos x="0" y="0"/>
                <wp:positionH relativeFrom="column">
                  <wp:posOffset>277204</wp:posOffset>
                </wp:positionH>
                <wp:positionV relativeFrom="paragraph">
                  <wp:posOffset>12065</wp:posOffset>
                </wp:positionV>
                <wp:extent cx="130175" cy="130175"/>
                <wp:effectExtent l="0" t="0" r="3175" b="3175"/>
                <wp:wrapNone/>
                <wp:docPr id="370" name="Oval 370"/>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0" style="position:absolute;margin-left:21.85pt;margin-top:.95pt;width:10.25pt;height:10.25pt;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" w14:anchorId="1E34B9EC">
                <v:stroke joinstyle="miter"/>
              </v:oval>
            </w:pict>
          </mc:Fallback>
        </mc:AlternateContent>
      </w:r>
      <w:r w:rsidRPr="002A0300">
        <w:rPr>
          <w:rFonts w:eastAsia="Calibri" w:asciiTheme="minorBidi" w:hAnsiTheme="minorBidi"/>
          <w:b/>
          <w:bCs/>
          <w:i/>
          <w:noProof/>
        </w:rPr>
        <w:t>How does the designated index differ from a relevant broad market index?</w:t>
      </w:r>
    </w:p>
    <w:p w:rsidRPr="002A0300" w:rsidR="002A0300" w:rsidP="002A0300" w:rsidRDefault="002A0300" w14:paraId="7634FFB7"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Not applicable.</w:t>
      </w:r>
    </w:p>
    <w:p w:rsidRPr="002A0300" w:rsidR="002A0300" w:rsidP="002A0300" w:rsidRDefault="002A0300" w14:paraId="6A42FDB3" w14:textId="77777777">
      <w:pPr>
        <w:spacing w:after="160" w:line="259" w:lineRule="auto"/>
        <w:ind w:left="851"/>
        <w:rPr>
          <w:rFonts w:eastAsia="Calibri" w:asciiTheme="minorBidi" w:hAnsiTheme="minorBidi"/>
          <w:b/>
          <w:bCs/>
          <w:i/>
          <w:noProof/>
        </w:rPr>
      </w:pPr>
    </w:p>
    <w:p w:rsidRPr="002A0300" w:rsidR="002A0300" w:rsidP="002A0300" w:rsidRDefault="002A0300" w14:paraId="270B9D5C" w14:textId="77777777">
      <w:pPr>
        <w:spacing w:after="160" w:line="259" w:lineRule="auto"/>
        <w:ind w:left="851"/>
        <w:rPr>
          <w:rFonts w:eastAsia="Calibri" w:asciiTheme="minorBidi" w:hAnsiTheme="minorBidi"/>
          <w:b/>
          <w:bCs/>
          <w:i/>
          <w:noProof/>
        </w:rPr>
      </w:pPr>
      <w:r w:rsidRPr="002A0300">
        <w:rPr>
          <w:rFonts w:eastAsia="Calibri" w:asciiTheme="minorBidi" w:hAnsiTheme="minorBidi"/>
          <w:b/>
          <w:bCs/>
          <w:i/>
          <w:noProof/>
          <w:lang w:eastAsia="zh-CN"/>
        </w:rPr>
        <mc:AlternateContent>
          <mc:Choice Requires="wps">
            <w:drawing>
              <wp:anchor distT="0" distB="0" distL="114300" distR="114300" simplePos="0" relativeHeight="251658289" behindDoc="0" locked="0" layoutInCell="1" allowOverlap="1" wp14:editId="1C38D97E" wp14:anchorId="703AD636">
                <wp:simplePos x="0" y="0"/>
                <wp:positionH relativeFrom="column">
                  <wp:posOffset>294572</wp:posOffset>
                </wp:positionH>
                <wp:positionV relativeFrom="paragraph">
                  <wp:posOffset>91419</wp:posOffset>
                </wp:positionV>
                <wp:extent cx="130175" cy="130175"/>
                <wp:effectExtent l="0" t="0" r="3175" b="3175"/>
                <wp:wrapNone/>
                <wp:docPr id="22" name="Oval 2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style="position:absolute;margin-left:23.2pt;margin-top:7.2pt;width:10.25pt;height:10.25pt;z-index:25165828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0cece"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" w14:anchorId="4375914D">
                <v:stroke joinstyle="miter"/>
              </v:oval>
            </w:pict>
          </mc:Fallback>
        </mc:AlternateContent>
      </w:r>
      <w:r w:rsidRPr="002A0300">
        <w:rPr>
          <w:rFonts w:eastAsia="Calibri" w:asciiTheme="minorBidi" w:hAnsiTheme="minorBidi"/>
          <w:b/>
          <w:bCs/>
          <w:i/>
          <w:noProof/>
        </w:rPr>
        <w:t>Where can the methodology used for the calculation of the designated index be found?</w:t>
      </w:r>
    </w:p>
    <w:p w:rsidRPr="002A0300" w:rsidR="002A0300" w:rsidP="002A0300" w:rsidRDefault="002A0300" w14:paraId="03A0AA64" w14:textId="77777777">
      <w:pPr>
        <w:spacing w:after="160" w:line="259" w:lineRule="auto"/>
        <w:ind w:left="993"/>
        <w:rPr>
          <w:rFonts w:eastAsia="Calibri" w:asciiTheme="minorBidi" w:hAnsiTheme="minorBidi"/>
          <w:noProof/>
          <w:color w:val="000000"/>
        </w:rPr>
      </w:pPr>
      <w:r w:rsidRPr="002A0300">
        <w:rPr>
          <w:rFonts w:eastAsia="Calibri" w:asciiTheme="minorBidi" w:hAnsiTheme="minorBidi"/>
          <w:noProof/>
          <w:color w:val="000000"/>
        </w:rPr>
        <w:t>Not applicable.</w:t>
      </w:r>
    </w:p>
    <w:p w:rsidRPr="002A0300" w:rsidR="002A0300" w:rsidP="002A0300" w:rsidRDefault="002A0300" w14:paraId="07FADE2D" w14:textId="25C5E701">
      <w:pPr>
        <w:spacing w:after="160" w:line="259" w:lineRule="auto"/>
        <w:rPr>
          <w:rFonts w:eastAsia="Calibri" w:asciiTheme="minorBidi" w:hAnsiTheme="minorBidi"/>
          <w:b/>
          <w:bCs/>
          <w:noProof/>
          <w:sz w:val="24"/>
          <w:szCs w:val="24"/>
        </w:rPr>
      </w:pPr>
      <w:r w:rsidRPr="002A0300">
        <w:rPr>
          <w:rFonts w:eastAsia="SimSun" w:asciiTheme="minorBidi" w:hAnsiTheme="minorBidi"/>
          <w:noProof/>
          <w:szCs w:val="24"/>
          <w:lang w:eastAsia="zh-CN"/>
        </w:rPr>
        <w:drawing>
          <wp:anchor distT="0" distB="0" distL="114300" distR="114300" simplePos="0" relativeHeight="251658262" behindDoc="0" locked="0" layoutInCell="1" allowOverlap="1" wp14:editId="3178BD66" wp14:anchorId="4BFC84A0">
            <wp:simplePos x="0" y="0"/>
            <wp:positionH relativeFrom="page">
              <wp:posOffset>32657</wp:posOffset>
            </wp:positionH>
            <wp:positionV relativeFrom="paragraph">
              <wp:posOffset>456383</wp:posOffset>
            </wp:positionV>
            <wp:extent cx="1704975" cy="600075"/>
            <wp:effectExtent l="0" t="0" r="9525" b="9525"/>
            <wp:wrapSquare wrapText="bothSides"/>
            <wp:docPr id="229" name="Graphic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96DAC541-7B7A-43D3-8B79-37D633B846F1}">
                          <asvg:svgBlip xmlns:asvg="http://schemas.microsoft.com/office/drawing/2016/SVG/main" r:embed="rId55"/>
                        </a:ext>
                      </a:extLst>
                    </a:blip>
                    <a:stretch>
                      <a:fillRect/>
                    </a:stretch>
                  </pic:blipFill>
                  <pic:spPr>
                    <a:xfrm>
                      <a:off x="0" y="0"/>
                      <a:ext cx="1704975" cy="600075"/>
                    </a:xfrm>
                    <a:prstGeom prst="rect">
                      <a:avLst/>
                    </a:prstGeom>
                  </pic:spPr>
                </pic:pic>
              </a:graphicData>
            </a:graphic>
          </wp:anchor>
        </w:drawing>
      </w:r>
    </w:p>
    <w:p w:rsidRPr="002A0300" w:rsidR="002A0300" w:rsidP="002A0300" w:rsidRDefault="002A0300" w14:paraId="3E2A1A5F" w14:textId="77777777">
      <w:pPr>
        <w:spacing w:after="160" w:line="259" w:lineRule="auto"/>
        <w:ind w:left="284"/>
        <w:rPr>
          <w:rFonts w:eastAsia="Calibri" w:asciiTheme="minorBidi" w:hAnsiTheme="minorBidi"/>
          <w:b/>
          <w:bCs/>
          <w:noProof/>
          <w:sz w:val="24"/>
          <w:szCs w:val="24"/>
        </w:rPr>
      </w:pPr>
      <w:r w:rsidRPr="002A0300">
        <w:rPr>
          <w:rFonts w:eastAsia="Calibri" w:asciiTheme="minorBidi" w:hAnsiTheme="minorBidi"/>
          <w:b/>
          <w:bCs/>
          <w:noProof/>
          <w:sz w:val="24"/>
          <w:szCs w:val="24"/>
        </w:rPr>
        <w:t xml:space="preserve">Where can I find more product specific information online? </w:t>
      </w:r>
    </w:p>
    <w:p w:rsidRPr="002A0300" w:rsidR="002A0300" w:rsidP="002A0300" w:rsidRDefault="002A0300" w14:paraId="704286ED" w14:textId="741D5AC7">
      <w:pPr>
        <w:spacing w:after="160" w:line="259" w:lineRule="auto"/>
        <w:ind w:left="284"/>
        <w:rPr>
          <w:rFonts w:eastAsia="SimSun" w:asciiTheme="minorBidi" w:hAnsiTheme="minorBidi"/>
          <w:noProof/>
          <w:lang w:eastAsia="zh-CN"/>
        </w:rPr>
      </w:pPr>
      <w:r w:rsidRPr="002A0300">
        <w:rPr>
          <w:rFonts w:eastAsia="Calibri" w:asciiTheme="minorBidi" w:hAnsiTheme="minorBidi"/>
          <w:b/>
          <w:noProof/>
        </w:rPr>
        <w:t xml:space="preserve">More product-specific information can be found on the website: </w:t>
      </w:r>
      <w:hyperlink w:history="1"/>
      <w:hyperlink w:history="1" r:id="rId56">
        <w:r w:rsidRPr="00E97F58" w:rsidR="00B55263">
          <w:rPr>
            <w:rStyle w:val="Hyperlink"/>
            <w:rFonts w:eastAsia="Calibri" w:asciiTheme="minorBidi" w:hAnsiTheme="minorBidi"/>
            <w:b/>
            <w:noProof/>
          </w:rPr>
          <w:t>www.connectetfs.com</w:t>
        </w:r>
      </w:hyperlink>
      <w:r w:rsidR="00B55263">
        <w:rPr>
          <w:rFonts w:eastAsia="Calibri" w:asciiTheme="minorBidi" w:hAnsiTheme="minorBidi"/>
          <w:b/>
          <w:noProof/>
        </w:rPr>
        <w:t xml:space="preserve"> </w:t>
      </w:r>
    </w:p>
    <w:p w:rsidRPr="005F1E5A" w:rsidR="00996E6E" w:rsidP="002A0300" w:rsidRDefault="003A635D" w14:paraId="514D80D3" w14:textId="4277E5CF">
      <w:pPr>
        <w:pStyle w:val="ssPara"/>
        <w:jc w:val="center"/>
        <w:rPr>
          <w:noProof/>
        </w:rPr>
      </w:pPr>
      <w:r w:rsidRPr="005F1E5A">
        <w:rPr>
          <w:b/>
          <w:noProof/>
        </w:rPr>
        <w:t xml:space="preserve"> </w:t>
      </w:r>
    </w:p>
    <w:sectPr w:rsidRPr="005F1E5A" w:rsidR="00996E6E" w:rsidSect="002A0300">
      <w:headerReference w:type="even" r:id="rId57"/>
      <w:footerReference w:type="even" r:id="rId58"/>
      <w:headerReference w:type="first" r:id="rId59"/>
      <w:footerReference w:type="first" r:id="rId60"/>
      <w:pgSz w:w="11918" w:h="16854"/>
      <w:pgMar w:top="672" w:right="330" w:bottom="81" w:left="3234"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88C" w:rsidRDefault="004C188C" w14:paraId="000E91C2" w14:textId="77777777">
      <w:r>
        <w:separator/>
      </w:r>
    </w:p>
  </w:endnote>
  <w:endnote w:type="continuationSeparator" w:id="0">
    <w:p w:rsidR="004C188C" w:rsidRDefault="004C188C" w14:paraId="258F298B" w14:textId="77777777">
      <w:r>
        <w:continuationSeparator/>
      </w:r>
    </w:p>
  </w:endnote>
  <w:endnote w:type="continuationNotice" w:id="1">
    <w:p w:rsidR="004C188C" w:rsidRDefault="004C188C" w14:paraId="39A8750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309000000000000"/>
    <w:charset w:val="88"/>
    <w:family w:val="modern"/>
    <w:pitch w:val="fixed"/>
    <w:sig w:usb0="A00002FF" w:usb1="28CFFCFA" w:usb2="00000016" w:usb3="00000000" w:csb0="00100001" w:csb1="00000000"/>
  </w:font>
  <w:font w:name="Arial Bold">
    <w:altName w:val="Arial"/>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C0" w:rsidRDefault="007475C0" w14:paraId="00B1C6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76728"/>
      <w:docPartObj>
        <w:docPartGallery w:val="Page Numbers (Bottom of Page)"/>
        <w:docPartUnique/>
      </w:docPartObj>
    </w:sdtPr>
    <w:sdtEndPr>
      <w:rPr>
        <w:noProof/>
        <w:sz w:val="16"/>
        <w:szCs w:val="16"/>
      </w:rPr>
    </w:sdtEndPr>
    <w:sdtContent>
      <w:p w:rsidRPr="007475C0" w:rsidR="00987029" w:rsidP="007475C0" w:rsidRDefault="00987029" w14:paraId="52498C55" w14:textId="77777777">
        <w:pPr>
          <w:pStyle w:val="ssPara"/>
          <w:spacing w:after="120"/>
          <w:jc w:val="center"/>
          <w:rPr>
            <w:sz w:val="16"/>
            <w:szCs w:val="16"/>
          </w:rPr>
        </w:pPr>
        <w:r w:rsidRPr="007475C0">
          <w:rPr>
            <w:sz w:val="16"/>
            <w:szCs w:val="16"/>
          </w:rPr>
          <w:fldChar w:fldCharType="begin"/>
        </w:r>
        <w:r w:rsidRPr="007475C0">
          <w:rPr>
            <w:sz w:val="16"/>
            <w:szCs w:val="16"/>
          </w:rPr>
          <w:instrText xml:space="preserve"> PAGE   \* MERGEFORMAT </w:instrText>
        </w:r>
        <w:r w:rsidRPr="007475C0">
          <w:rPr>
            <w:sz w:val="16"/>
            <w:szCs w:val="16"/>
          </w:rPr>
          <w:fldChar w:fldCharType="separate"/>
        </w:r>
        <w:r w:rsidRPr="007475C0">
          <w:rPr>
            <w:noProof/>
            <w:sz w:val="16"/>
            <w:szCs w:val="16"/>
          </w:rPr>
          <w:t>1</w:t>
        </w:r>
        <w:r w:rsidRPr="007475C0">
          <w:rPr>
            <w:noProof/>
            <w:sz w:val="16"/>
            <w:szCs w:val="16"/>
          </w:rPr>
          <w:fldChar w:fldCharType="end"/>
        </w:r>
      </w:p>
    </w:sdtContent>
  </w:sdt>
  <w:p w:rsidRPr="007475C0" w:rsidR="00987029" w:rsidP="007475C0" w:rsidRDefault="008D228D" w14:paraId="6A998765" w14:textId="6D6F8275">
    <w:pPr>
      <w:pStyle w:val="ssPara"/>
      <w:spacing w:after="0"/>
      <w:rPr>
        <w:sz w:val="16"/>
        <w:szCs w:val="16"/>
      </w:rPr>
    </w:pPr>
    <w:r>
      <w:rPr>
        <w:sz w:val="16"/>
        <w:szCs w:val="16"/>
      </w:rPr>
      <w:t>L_LIVE_EMEA1:106049334v30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C0" w:rsidRDefault="007475C0" w14:paraId="1F0C93B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029" w:rsidP="007475C0" w:rsidRDefault="00987029" w14:paraId="6533A12A" w14:textId="77777777">
    <w:pPr>
      <w:pStyle w:val="ssPara"/>
    </w:pPr>
    <w:r>
      <w:t xml:space="preserve">FM/111979-00001/DXZS/JMCK </w:t>
    </w:r>
    <w:bookmarkStart w:name="bmkAsset1_3" w:id="143"/>
    <w:r>
      <w:t>JMCK(DUBL32038)</w:t>
    </w:r>
    <w:bookmarkEnd w:id="143"/>
    <w:r>
      <w:rPr>
        <w:sz w:val="20"/>
      </w:rPr>
      <w:tab/>
    </w:r>
    <w:r>
      <w:rPr>
        <w:sz w:val="20"/>
      </w:rPr>
      <w:fldChar w:fldCharType="begin"/>
    </w:r>
    <w:r>
      <w:rPr>
        <w:sz w:val="20"/>
      </w:rPr>
      <w:instrText xml:space="preserve"> PAGE  \* MERGEFORMAT </w:instrText>
    </w:r>
    <w:r>
      <w:rPr>
        <w:sz w:val="20"/>
      </w:rPr>
      <w:fldChar w:fldCharType="separate"/>
    </w:r>
    <w:r>
      <w:rPr>
        <w:noProof/>
        <w:sz w:val="20"/>
      </w:rPr>
      <w:t>4</w:t>
    </w:r>
    <w:r>
      <w:rPr>
        <w:sz w:val="20"/>
      </w:rPr>
      <w:fldChar w:fldCharType="end"/>
    </w:r>
    <w:r>
      <w:tab/>
    </w:r>
    <w:bookmarkStart w:name="bmkDocID1_3" w:id="144"/>
    <w:r>
      <w:t>L_LIVE_EMEA1:47802898v16</w:t>
    </w:r>
    <w:bookmarkEnd w:id="14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029" w:rsidP="007475C0" w:rsidRDefault="00987029" w14:paraId="2DFBE6FF" w14:textId="77777777">
    <w:pPr>
      <w:pStyle w:val="ssPara"/>
    </w:pPr>
    <w:r>
      <w:fldChar w:fldCharType="begin"/>
    </w:r>
    <w:r>
      <w:instrText xml:space="preserve"> PAGE   \* MERGEFORMAT </w:instrText>
    </w:r>
    <w:r>
      <w:fldChar w:fldCharType="separate"/>
    </w:r>
    <w:r>
      <w:rPr>
        <w:noProof/>
      </w:rPr>
      <w:t>23</w:t>
    </w:r>
    <w:r>
      <w:rPr>
        <w:noProof/>
      </w:rPr>
      <w:fldChar w:fldCharType="end"/>
    </w:r>
  </w:p>
  <w:p w:rsidR="00987029" w:rsidP="007475C0" w:rsidRDefault="00987029" w14:paraId="33D98D18" w14:textId="77777777">
    <w:pPr>
      <w:pStyle w:val="ssPar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162008"/>
      <w:docPartObj>
        <w:docPartGallery w:val="Page Numbers (Bottom of Page)"/>
        <w:docPartUnique/>
      </w:docPartObj>
    </w:sdtPr>
    <w:sdtEndPr>
      <w:rPr>
        <w:noProof/>
        <w:sz w:val="16"/>
        <w:szCs w:val="16"/>
      </w:rPr>
    </w:sdtEndPr>
    <w:sdtContent>
      <w:p w:rsidRPr="007475C0" w:rsidR="002A0300" w:rsidP="007475C0" w:rsidRDefault="002A0300" w14:paraId="60F6B489" w14:textId="77777777">
        <w:pPr>
          <w:pStyle w:val="ssPara"/>
          <w:spacing w:after="120"/>
          <w:jc w:val="center"/>
          <w:rPr>
            <w:sz w:val="16"/>
            <w:szCs w:val="16"/>
          </w:rPr>
        </w:pPr>
        <w:r w:rsidRPr="007475C0">
          <w:rPr>
            <w:sz w:val="16"/>
            <w:szCs w:val="16"/>
          </w:rPr>
          <w:fldChar w:fldCharType="begin"/>
        </w:r>
        <w:r w:rsidRPr="007475C0">
          <w:rPr>
            <w:sz w:val="16"/>
            <w:szCs w:val="16"/>
          </w:rPr>
          <w:instrText xml:space="preserve"> PAGE   \* MERGEFORMAT </w:instrText>
        </w:r>
        <w:r w:rsidRPr="007475C0">
          <w:rPr>
            <w:sz w:val="16"/>
            <w:szCs w:val="16"/>
          </w:rPr>
          <w:fldChar w:fldCharType="separate"/>
        </w:r>
        <w:r w:rsidRPr="007475C0">
          <w:rPr>
            <w:noProof/>
            <w:sz w:val="16"/>
            <w:szCs w:val="16"/>
          </w:rPr>
          <w:t>1</w:t>
        </w:r>
        <w:r w:rsidRPr="007475C0">
          <w:rPr>
            <w:noProof/>
            <w:sz w:val="16"/>
            <w:szCs w:val="16"/>
          </w:rPr>
          <w:fldChar w:fldCharType="end"/>
        </w:r>
      </w:p>
    </w:sdtContent>
  </w:sdt>
  <w:p w:rsidRPr="007475C0" w:rsidR="002A0300" w:rsidP="007475C0" w:rsidRDefault="008D228D" w14:paraId="7378D9C3" w14:textId="2FD380E9">
    <w:pPr>
      <w:pStyle w:val="ssPara"/>
      <w:spacing w:after="0"/>
      <w:rPr>
        <w:sz w:val="16"/>
        <w:szCs w:val="16"/>
      </w:rPr>
    </w:pPr>
    <w:r>
      <w:rPr>
        <w:sz w:val="16"/>
        <w:szCs w:val="16"/>
      </w:rPr>
      <w:t>L_LIVE_EMEA1:106049334v30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77C" w:rsidP="007475C0" w:rsidRDefault="0024677C" w14:paraId="3C06CE50" w14:textId="025DD28C">
    <w:pPr>
      <w:pStyle w:val="ssPara"/>
    </w:pPr>
  </w:p>
  <w:p w:rsidR="007C3791" w:rsidP="007475C0" w:rsidRDefault="007C3791" w14:paraId="41D822AE" w14:textId="77777777">
    <w:pPr>
      <w:pStyle w:val="ssPara"/>
    </w:pPr>
  </w:p>
  <w:p w:rsidR="009F03FA" w:rsidRDefault="009F03FA" w14:paraId="560D1AF5"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418"/>
      <w:gridCol w:w="4630"/>
      <w:gridCol w:w="3022"/>
    </w:tblGrid>
    <w:tr w:rsidR="0024677C" w:rsidTr="0024677C" w14:paraId="75FE372B" w14:textId="77777777">
      <w:tc>
        <w:tcPr>
          <w:tcW w:w="1418" w:type="dxa"/>
        </w:tcPr>
        <w:p w:rsidR="0024677C" w:rsidRDefault="0024677C" w14:paraId="5BF6CAB6" w14:textId="50DA0973"/>
      </w:tc>
      <w:tc>
        <w:tcPr>
          <w:tcW w:w="4630" w:type="dxa"/>
        </w:tcPr>
        <w:p w:rsidR="0024677C" w:rsidP="007475C0" w:rsidRDefault="00B22863" w14:paraId="25CB9690" w14:textId="77777777">
          <w:pPr>
            <w:pStyle w:val="ssPara"/>
          </w:pPr>
          <w:r>
            <w:fldChar w:fldCharType="begin"/>
          </w:r>
          <w:r>
            <w:instrText xml:space="preserve"> PAGE </w:instrText>
          </w:r>
          <w:r>
            <w:fldChar w:fldCharType="separate"/>
          </w:r>
          <w:r>
            <w:t>1</w:t>
          </w:r>
          <w:r>
            <w:fldChar w:fldCharType="end"/>
          </w:r>
        </w:p>
      </w:tc>
      <w:tc>
        <w:tcPr>
          <w:tcW w:w="3022" w:type="dxa"/>
        </w:tcPr>
        <w:p w:rsidR="0024677C" w:rsidP="007475C0" w:rsidRDefault="00B22863" w14:paraId="0E5BE21D" w14:textId="77777777">
          <w:pPr>
            <w:pStyle w:val="ssPara"/>
          </w:pPr>
          <w:r>
            <w:t>L_LIVE_EMEA1:100673775v3</w:t>
          </w:r>
        </w:p>
      </w:tc>
    </w:tr>
  </w:tbl>
  <w:p w:rsidR="0024677C" w:rsidP="007475C0" w:rsidRDefault="0024677C" w14:paraId="34975526" w14:textId="77777777">
    <w:pPr>
      <w:pStyle w:val="ssPara"/>
    </w:pPr>
  </w:p>
  <w:p w:rsidR="007C3791" w:rsidP="007475C0" w:rsidRDefault="007C3791" w14:paraId="2DFAEE05" w14:textId="77777777">
    <w:pPr>
      <w:pStyle w:val="ssPara"/>
    </w:pPr>
  </w:p>
  <w:p w:rsidR="009F03FA" w:rsidRDefault="009F03FA" w14:paraId="00CD334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88C" w:rsidRDefault="004C188C" w14:paraId="25632D64" w14:textId="77777777">
      <w:r>
        <w:separator/>
      </w:r>
    </w:p>
  </w:footnote>
  <w:footnote w:type="continuationSeparator" w:id="0">
    <w:p w:rsidR="004C188C" w:rsidRDefault="004C188C" w14:paraId="38737FAE" w14:textId="77777777">
      <w:r>
        <w:continuationSeparator/>
      </w:r>
    </w:p>
  </w:footnote>
  <w:footnote w:type="continuationNotice" w:id="1">
    <w:p w:rsidR="004C188C" w:rsidRDefault="004C188C" w14:paraId="14297E8F" w14:textId="77777777"/>
  </w:footnote>
  <w:footnote w:id="2">
    <w:p w:rsidRPr="00F94525" w:rsidR="002A0300" w:rsidP="002A0300" w:rsidRDefault="002A0300" w14:paraId="0006D2A4" w14:textId="77777777">
      <w:pPr>
        <w:pStyle w:val="FootnoteText"/>
      </w:pPr>
      <w:r>
        <w:rPr>
          <w:rStyle w:val="FootnoteReference"/>
        </w:rPr>
        <w:footnoteRef/>
      </w:r>
      <w:r>
        <w:t xml:space="preserve"> Fossil gas and/or nuclear related activities will only comply with the EU Taxonomy where they contribute to limiting climate change (“climate change mitigation”) </w:t>
      </w:r>
      <w:bookmarkStart w:name="_Hlk113969916" w:id="148"/>
      <w:r>
        <w:t>and do not significantly harm any EU Taxonomy objective</w:t>
      </w:r>
      <w:bookmarkEnd w:id="148"/>
      <w:r>
        <w:t xml:space="preserve"> - see explanatory note in the left hand margin. The full criteria for fossil gas and nuclear energy economic activities that comply with the EU Taxonomy are laid down in Commission Delegated Regulation (EU) 2022/1214.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C0" w:rsidRDefault="007475C0" w14:paraId="621B1B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C0" w:rsidRDefault="007475C0" w14:paraId="7F9EF9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C0" w:rsidRDefault="007475C0" w14:paraId="7FB9076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77C" w:rsidP="007475C0" w:rsidRDefault="0024677C" w14:paraId="4E11344C" w14:textId="7D8FE79B">
    <w:pPr>
      <w:pStyle w:val="ssPara"/>
    </w:pPr>
  </w:p>
  <w:p w:rsidR="007C3791" w:rsidP="007475C0" w:rsidRDefault="007C3791" w14:paraId="4A7A96EE" w14:textId="77777777">
    <w:pPr>
      <w:pStyle w:val="ssPara"/>
    </w:pPr>
  </w:p>
  <w:p w:rsidR="009F03FA" w:rsidRDefault="009F03FA" w14:paraId="389642F3"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77C" w:rsidP="007475C0" w:rsidRDefault="0024677C" w14:paraId="6CFA2DD0" w14:textId="34AC442C">
    <w:pPr>
      <w:pStyle w:val="ssPara"/>
    </w:pPr>
  </w:p>
  <w:p w:rsidR="007C3791" w:rsidP="007475C0" w:rsidRDefault="007C3791" w14:paraId="15A6D6DD" w14:textId="77777777">
    <w:pPr>
      <w:pStyle w:val="ssPara"/>
    </w:pPr>
  </w:p>
  <w:p w:rsidR="009F03FA" w:rsidRDefault="009F03FA" w14:paraId="6336203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60341"/>
    <w:multiLevelType w:val="multilevel"/>
    <w:tmpl w:val="EC783F32"/>
    <w:lvl w:ilvl="0">
      <w:start w:val="1"/>
      <w:numFmt w:val="none"/>
      <w:pStyle w:val="ssRestartAnnex"/>
      <w:suff w:val="nothing"/>
      <w:lvlText w:val=""/>
      <w:lvlJc w:val="left"/>
      <w:pPr>
        <w:ind w:left="0" w:firstLine="0"/>
      </w:pPr>
      <w:rPr>
        <w:rFonts w:hint="default"/>
      </w:rPr>
    </w:lvl>
    <w:lvl w:ilvl="1">
      <w:start w:val="1"/>
      <w:numFmt w:val="decimal"/>
      <w:pStyle w:val="ssqAnnex"/>
      <w:suff w:val="space"/>
      <w:lvlText w:val="Anne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6017E8"/>
    <w:multiLevelType w:val="hybridMultilevel"/>
    <w:tmpl w:val="D266259A"/>
    <w:lvl w:ilvl="0" w:tplc="2D5EEA2A">
      <w:numFmt w:val="bullet"/>
      <w:lvlText w:val="-"/>
      <w:lvlJc w:val="left"/>
      <w:pPr>
        <w:ind w:left="1353" w:hanging="360"/>
      </w:pPr>
      <w:rPr>
        <w:rFonts w:ascii="Calibri" w:eastAsia="Calibr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0537511E"/>
    <w:multiLevelType w:val="multilevel"/>
    <w:tmpl w:val="9E72ED48"/>
    <w:lvl w:ilvl="0">
      <w:start w:val="1"/>
      <w:numFmt w:val="none"/>
      <w:pStyle w:val="AltDefinitions"/>
      <w:lvlText w:val=""/>
      <w:lvlJc w:val="left"/>
      <w:pPr>
        <w:tabs>
          <w:tab w:val="num" w:pos="1644"/>
        </w:tabs>
        <w:ind w:left="709" w:firstLine="0"/>
      </w:pPr>
      <w:rPr>
        <w:rFonts w:hint="default"/>
      </w:rPr>
    </w:lvl>
    <w:lvl w:ilvl="1">
      <w:start w:val="1"/>
      <w:numFmt w:val="upperLetter"/>
      <w:pStyle w:val="AltDefinitions1"/>
      <w:lvlText w:val="(%2)"/>
      <w:lvlJc w:val="left"/>
      <w:pPr>
        <w:tabs>
          <w:tab w:val="num" w:pos="1418"/>
        </w:tabs>
        <w:ind w:left="1418" w:hanging="709"/>
      </w:pPr>
      <w:rPr>
        <w:rFonts w:hint="default"/>
      </w:rPr>
    </w:lvl>
    <w:lvl w:ilvl="2">
      <w:start w:val="1"/>
      <w:numFmt w:val="decimal"/>
      <w:pStyle w:val="AltDefinitions2"/>
      <w:lvlText w:val="(%3)"/>
      <w:lvlJc w:val="left"/>
      <w:pPr>
        <w:tabs>
          <w:tab w:val="num" w:pos="1985"/>
        </w:tabs>
        <w:ind w:left="1985" w:hanging="567"/>
      </w:pPr>
      <w:rPr>
        <w:rFonts w:hint="default"/>
      </w:rPr>
    </w:lvl>
    <w:lvl w:ilvl="3">
      <w:start w:val="1"/>
      <w:numFmt w:val="lowerLetter"/>
      <w:pStyle w:val="AltDefinitions3"/>
      <w:lvlText w:val="(%4)"/>
      <w:lvlJc w:val="left"/>
      <w:pPr>
        <w:tabs>
          <w:tab w:val="num" w:pos="2552"/>
        </w:tabs>
        <w:ind w:left="2552" w:hanging="567"/>
      </w:pPr>
      <w:rPr>
        <w:rFonts w:hint="default"/>
      </w:rPr>
    </w:lvl>
    <w:lvl w:ilvl="4">
      <w:start w:val="1"/>
      <w:numFmt w:val="lowerRoman"/>
      <w:pStyle w:val="AltDefinitions4"/>
      <w:lvlText w:val="(%5)"/>
      <w:lvlJc w:val="left"/>
      <w:pPr>
        <w:tabs>
          <w:tab w:val="num" w:pos="3119"/>
        </w:tabs>
        <w:ind w:left="3119"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6645AB1"/>
    <w:multiLevelType w:val="multilevel"/>
    <w:tmpl w:val="A5F65242"/>
    <w:numStyleLink w:val="NumParties"/>
  </w:abstractNum>
  <w:abstractNum w:abstractNumId="5" w15:restartNumberingAfterBreak="0">
    <w:nsid w:val="08555256"/>
    <w:multiLevelType w:val="multilevel"/>
    <w:tmpl w:val="ECD8DD3E"/>
    <w:lvl w:ilvl="0">
      <w:start w:val="1"/>
      <w:numFmt w:val="decimal"/>
      <w:lvlRestart w:val="0"/>
      <w:pStyle w:val="ssq"/>
      <w:suff w:val="nothing"/>
      <w:lvlText w:val="مبرز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AE4F59"/>
    <w:multiLevelType w:val="multilevel"/>
    <w:tmpl w:val="576C219E"/>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560284"/>
    <w:multiLevelType w:val="multilevel"/>
    <w:tmpl w:val="FD484C7C"/>
    <w:numStyleLink w:val="NumRecitals"/>
  </w:abstractNum>
  <w:abstractNum w:abstractNumId="8" w15:restartNumberingAfterBreak="0">
    <w:nsid w:val="0C69430A"/>
    <w:multiLevelType w:val="multilevel"/>
    <w:tmpl w:val="BCA6C5F4"/>
    <w:lvl w:ilvl="0">
      <w:start w:val="1"/>
      <w:numFmt w:val="decimal"/>
      <w:lvlRestart w:val="0"/>
      <w:pStyle w:val="ssqListe"/>
      <w:suff w:val="nothing"/>
      <w:lvlText w:val="lis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C984496"/>
    <w:multiLevelType w:val="multilevel"/>
    <w:tmpl w:val="A6C425FC"/>
    <w:lvl w:ilvl="0">
      <w:start w:val="1"/>
      <w:numFmt w:val="decimal"/>
      <w:lvlRestart w:val="0"/>
      <w:pStyle w:val="ssqParte"/>
      <w:suff w:val="nothing"/>
      <w:lvlText w:val="par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05709B7"/>
    <w:multiLevelType w:val="hybridMultilevel"/>
    <w:tmpl w:val="BAC47EA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1" w15:restartNumberingAfterBreak="0">
    <w:nsid w:val="11E06F25"/>
    <w:multiLevelType w:val="multilevel"/>
    <w:tmpl w:val="936AC750"/>
    <w:lvl w:ilvl="0">
      <w:start w:val="1"/>
      <w:numFmt w:val="decimal"/>
      <w:lvlRestart w:val="0"/>
      <w:pStyle w:val="ssqMarcar"/>
      <w:suff w:val="nothing"/>
      <w:lvlText w:val="marc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1E53EEE"/>
    <w:multiLevelType w:val="multilevel"/>
    <w:tmpl w:val="AFDC047E"/>
    <w:styleLink w:val="NumAltParties"/>
    <w:lvl w:ilvl="0">
      <w:start w:val="1"/>
      <w:numFmt w:val="decimal"/>
      <w:pStyle w:val="AltParties"/>
      <w:lvlText w:val="(%1)"/>
      <w:lvlJc w:val="left"/>
      <w:pPr>
        <w:tabs>
          <w:tab w:val="num" w:pos="709"/>
        </w:tabs>
        <w:ind w:left="709" w:hanging="70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6B337A"/>
    <w:multiLevelType w:val="multilevel"/>
    <w:tmpl w:val="529ECED8"/>
    <w:lvl w:ilvl="0">
      <w:start w:val="1"/>
      <w:numFmt w:val="decimal"/>
      <w:lvlRestart w:val="0"/>
      <w:pStyle w:val="ssqExposicin"/>
      <w:suff w:val="nothing"/>
      <w:lvlText w:val="exposició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7140D04"/>
    <w:multiLevelType w:val="multilevel"/>
    <w:tmpl w:val="DB2CB420"/>
    <w:lvl w:ilvl="0">
      <w:start w:val="1"/>
      <w:numFmt w:val="decimal"/>
      <w:lvlRestart w:val="0"/>
      <w:pStyle w:val="ssqAnnex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90C26FA"/>
    <w:multiLevelType w:val="multilevel"/>
    <w:tmpl w:val="A9E68506"/>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lowerLetter"/>
      <w:pStyle w:val="Definitions3"/>
      <w:lvlText w:val="(%4)"/>
      <w:lvlJc w:val="left"/>
      <w:pPr>
        <w:tabs>
          <w:tab w:val="num" w:pos="2552"/>
        </w:tabs>
        <w:ind w:left="2552" w:hanging="567"/>
      </w:pPr>
      <w:rPr>
        <w:rFonts w:hint="default"/>
      </w:rPr>
    </w:lvl>
    <w:lvl w:ilvl="4">
      <w:start w:val="1"/>
      <w:numFmt w:val="lowerRoman"/>
      <w:pStyle w:val="Definitions4"/>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C812D95"/>
    <w:multiLevelType w:val="multilevel"/>
    <w:tmpl w:val="6CB62434"/>
    <w:lvl w:ilvl="0">
      <w:start w:val="1"/>
      <w:numFmt w:val="decimal"/>
      <w:lvlRestart w:val="0"/>
      <w:pStyle w:val="ssqSchema"/>
      <w:suff w:val="nothing"/>
      <w:lvlText w:val="sche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CD55F89"/>
    <w:multiLevelType w:val="multilevel"/>
    <w:tmpl w:val="71AE82BE"/>
    <w:lvl w:ilvl="0">
      <w:start w:val="1"/>
      <w:numFmt w:val="decimal"/>
      <w:lvlRestart w:val="0"/>
      <w:pStyle w:val="ssqTeil"/>
      <w:suff w:val="nothing"/>
      <w:lvlText w:val="tei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D3813EB"/>
    <w:multiLevelType w:val="multilevel"/>
    <w:tmpl w:val="484CDBC8"/>
    <w:lvl w:ilvl="0">
      <w:start w:val="1"/>
      <w:numFmt w:val="none"/>
      <w:pStyle w:val="AltSSRestartNumber"/>
      <w:suff w:val="nothing"/>
      <w:lvlText w:val="%1"/>
      <w:lvlJc w:val="left"/>
      <w:pPr>
        <w:ind w:left="0" w:firstLine="0"/>
      </w:pPr>
      <w:rPr>
        <w:rFonts w:hint="default"/>
      </w:rPr>
    </w:lvl>
    <w:lvl w:ilvl="1">
      <w:start w:val="1"/>
      <w:numFmt w:val="decimal"/>
      <w:pStyle w:val="AltHeading1"/>
      <w:lvlText w:val="%2."/>
      <w:lvlJc w:val="left"/>
      <w:pPr>
        <w:tabs>
          <w:tab w:val="num" w:pos="709"/>
        </w:tabs>
        <w:ind w:left="709" w:hanging="709"/>
      </w:pPr>
      <w:rPr>
        <w:rFonts w:hint="default"/>
        <w:b w:val="0"/>
        <w:i w:val="0"/>
        <w:u w:val="none"/>
      </w:rPr>
    </w:lvl>
    <w:lvl w:ilvl="2">
      <w:start w:val="1"/>
      <w:numFmt w:val="decimal"/>
      <w:pStyle w:val="AltHeading2"/>
      <w:lvlText w:val="%2.%3"/>
      <w:lvlJc w:val="left"/>
      <w:pPr>
        <w:tabs>
          <w:tab w:val="num" w:pos="709"/>
        </w:tabs>
        <w:ind w:left="709" w:hanging="709"/>
      </w:pPr>
      <w:rPr>
        <w:rFonts w:hint="default"/>
        <w:b w:val="0"/>
        <w:i w:val="0"/>
        <w:u w:val="none"/>
      </w:rPr>
    </w:lvl>
    <w:lvl w:ilvl="3">
      <w:start w:val="1"/>
      <w:numFmt w:val="upperLetter"/>
      <w:pStyle w:val="AltHeading3"/>
      <w:lvlText w:val="(%4)"/>
      <w:lvlJc w:val="left"/>
      <w:pPr>
        <w:tabs>
          <w:tab w:val="num" w:pos="1418"/>
        </w:tabs>
        <w:ind w:left="1418" w:hanging="709"/>
      </w:pPr>
      <w:rPr>
        <w:rFonts w:hint="default"/>
        <w:b w:val="0"/>
        <w:i w:val="0"/>
      </w:rPr>
    </w:lvl>
    <w:lvl w:ilvl="4">
      <w:start w:val="1"/>
      <w:numFmt w:val="decimal"/>
      <w:pStyle w:val="AltHeading4"/>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pStyle w:val="Alt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F74D5C"/>
    <w:multiLevelType w:val="multilevel"/>
    <w:tmpl w:val="B6383584"/>
    <w:lvl w:ilvl="0">
      <w:start w:val="1"/>
      <w:numFmt w:val="decimal"/>
      <w:lvlRestart w:val="0"/>
      <w:pStyle w:val="ssq0"/>
      <w:suff w:val="nothing"/>
      <w:lvlText w:val="المرف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1A61B4F"/>
    <w:multiLevelType w:val="multilevel"/>
    <w:tmpl w:val="78DCF88E"/>
    <w:lvl w:ilvl="0">
      <w:start w:val="1"/>
      <w:numFmt w:val="decimal"/>
      <w:lvlRestart w:val="0"/>
      <w:pStyle w:val="ssqAnlage"/>
      <w:suff w:val="nothing"/>
      <w:lvlText w:val="an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279363B"/>
    <w:multiLevelType w:val="multilevel"/>
    <w:tmpl w:val="03F087C6"/>
    <w:numStyleLink w:val="AltExhibit"/>
  </w:abstractNum>
  <w:abstractNum w:abstractNumId="25" w15:restartNumberingAfterBreak="0">
    <w:nsid w:val="240C1329"/>
    <w:multiLevelType w:val="multilevel"/>
    <w:tmpl w:val="3A02A772"/>
    <w:lvl w:ilvl="0">
      <w:start w:val="1"/>
      <w:numFmt w:val="decimal"/>
      <w:lvlRestart w:val="0"/>
      <w:pStyle w:val="ssqApndice"/>
      <w:suff w:val="nothing"/>
      <w:lvlText w:val="apé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4977E4E"/>
    <w:multiLevelType w:val="multilevel"/>
    <w:tmpl w:val="5CE40D6E"/>
    <w:styleLink w:val="Nu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7" w15:restartNumberingAfterBreak="0">
    <w:nsid w:val="27244E0F"/>
    <w:multiLevelType w:val="multilevel"/>
    <w:tmpl w:val="D0200CE0"/>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2C2D8F"/>
    <w:multiLevelType w:val="multilevel"/>
    <w:tmpl w:val="1130A0CA"/>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BAA5C75"/>
    <w:multiLevelType w:val="multilevel"/>
    <w:tmpl w:val="4D041E88"/>
    <w:lvl w:ilvl="0">
      <w:start w:val="1"/>
      <w:numFmt w:val="decimal"/>
      <w:lvlRestart w:val="0"/>
      <w:pStyle w:val="ssqProductie"/>
      <w:suff w:val="nothing"/>
      <w:lvlText w:val="produc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BD40EEA"/>
    <w:multiLevelType w:val="multilevel"/>
    <w:tmpl w:val="9B8E0878"/>
    <w:lvl w:ilvl="0">
      <w:start w:val="1"/>
      <w:numFmt w:val="none"/>
      <w:lvlRestart w:val="0"/>
      <w:pStyle w:val="ssRestartExposicin"/>
      <w:suff w:val="space"/>
      <w:lvlText w:val=""/>
      <w:lvlJc w:val="left"/>
      <w:pPr>
        <w:ind w:left="0" w:firstLine="0"/>
      </w:pPr>
      <w:rPr>
        <w:rFonts w:hint="default"/>
      </w:rPr>
    </w:lvl>
    <w:lvl w:ilvl="1">
      <w:start w:val="1"/>
      <w:numFmt w:val="decimal"/>
      <w:suff w:val="nothing"/>
      <w:lvlText w:val="exposición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ECC0C09"/>
    <w:multiLevelType w:val="multilevel"/>
    <w:tmpl w:val="952C2A58"/>
    <w:styleLink w:val="AltSSQPart"/>
    <w:lvl w:ilvl="0">
      <w:start w:val="1"/>
      <w:numFmt w:val="none"/>
      <w:pStyle w:val="AltssRestartPart"/>
      <w:suff w:val="nothing"/>
      <w:lvlText w:val=""/>
      <w:lvlJc w:val="left"/>
      <w:pPr>
        <w:ind w:left="0" w:firstLine="0"/>
      </w:pPr>
      <w:rPr>
        <w:rFonts w:hint="default"/>
      </w:rPr>
    </w:lvl>
    <w:lvl w:ilvl="1">
      <w:start w:val="1"/>
      <w:numFmt w:val="decimal"/>
      <w:pStyle w:val="AltssqPart0"/>
      <w:suff w:val="space"/>
      <w:lvlText w:val="Part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F452F6A"/>
    <w:multiLevelType w:val="multilevel"/>
    <w:tmpl w:val="80E8AF92"/>
    <w:styleLink w:val="AltSchedule"/>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45F6E23"/>
    <w:multiLevelType w:val="multilevel"/>
    <w:tmpl w:val="DEF02120"/>
    <w:lvl w:ilvl="0">
      <w:start w:val="1"/>
      <w:numFmt w:val="decimal"/>
      <w:lvlRestart w:val="0"/>
      <w:pStyle w:val="ssqScheda"/>
      <w:suff w:val="nothing"/>
      <w:lvlText w:val="sched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53030E2"/>
    <w:multiLevelType w:val="multilevel"/>
    <w:tmpl w:val="84B0CB6E"/>
    <w:lvl w:ilvl="0">
      <w:start w:val="1"/>
      <w:numFmt w:val="decimal"/>
      <w:lvlRestart w:val="0"/>
      <w:pStyle w:val="ssqMarcao"/>
      <w:suff w:val="nothing"/>
      <w:lvlText w:val="marcaçã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73F1E72"/>
    <w:multiLevelType w:val="multilevel"/>
    <w:tmpl w:val="03F087C6"/>
    <w:styleLink w:val="AltExhibit"/>
    <w:lvl w:ilvl="0">
      <w:start w:val="1"/>
      <w:numFmt w:val="none"/>
      <w:pStyle w:val="AltssRestartExhibit"/>
      <w:suff w:val="nothing"/>
      <w:lvlText w:val=""/>
      <w:lvlJc w:val="left"/>
      <w:pPr>
        <w:ind w:left="0" w:firstLine="0"/>
      </w:pPr>
      <w:rPr>
        <w:rFonts w:hint="default"/>
      </w:rPr>
    </w:lvl>
    <w:lvl w:ilvl="1">
      <w:start w:val="1"/>
      <w:numFmt w:val="decimal"/>
      <w:pStyle w:val="AltssqExhibit"/>
      <w:suff w:val="space"/>
      <w:lvlText w:val="Exhibit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9937EB2"/>
    <w:multiLevelType w:val="multilevel"/>
    <w:tmpl w:val="E0FA8E66"/>
    <w:styleLink w:val="ScheduleNumbering"/>
    <w:lvl w:ilvl="0">
      <w:start w:val="1"/>
      <w:numFmt w:val="none"/>
      <w:suff w:val="nothing"/>
      <w:lvlText w:val=""/>
      <w:lvlJc w:val="left"/>
      <w:pPr>
        <w:ind w:left="0" w:firstLine="0"/>
      </w:pPr>
      <w:rPr>
        <w:rFonts w:hint="default"/>
      </w:rPr>
    </w:lvl>
    <w:lvl w:ilvl="1">
      <w:start w:val="1"/>
      <w:numFmt w:val="decimal"/>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9937EB3"/>
    <w:multiLevelType w:val="multilevel"/>
    <w:tmpl w:val="C7B04D82"/>
    <w:styleLink w:val="SectionNumbering"/>
    <w:lvl w:ilvl="0">
      <w:start w:val="1"/>
      <w:numFmt w:val="none"/>
      <w:suff w:val="nothing"/>
      <w:lvlText w:val="%1"/>
      <w:lvlJc w:val="left"/>
      <w:pPr>
        <w:ind w:left="0" w:firstLine="0"/>
      </w:pPr>
      <w:rPr>
        <w:rFonts w:hint="default"/>
      </w:rPr>
    </w:lvl>
    <w:lvl w:ilvl="1">
      <w:start w:val="1"/>
      <w:numFmt w:val="decimal"/>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D82D68"/>
    <w:multiLevelType w:val="multilevel"/>
    <w:tmpl w:val="7EEA7940"/>
    <w:lvl w:ilvl="0">
      <w:start w:val="1"/>
      <w:numFmt w:val="decimal"/>
      <w:lvlRestart w:val="0"/>
      <w:pStyle w:val="ssqApresentar"/>
      <w:suff w:val="nothing"/>
      <w:lvlText w:val="apresent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3F67124D"/>
    <w:multiLevelType w:val="multilevel"/>
    <w:tmpl w:val="5B82DCE6"/>
    <w:styleLink w:val="AltSection"/>
    <w:lvl w:ilvl="0">
      <w:start w:val="1"/>
      <w:numFmt w:val="none"/>
      <w:pStyle w:val="AltssRestartSection"/>
      <w:suff w:val="nothing"/>
      <w:lvlText w:val=""/>
      <w:lvlJc w:val="left"/>
      <w:pPr>
        <w:ind w:left="0" w:firstLine="0"/>
      </w:pPr>
      <w:rPr>
        <w:rFonts w:hint="default"/>
      </w:rPr>
    </w:lvl>
    <w:lvl w:ilvl="1">
      <w:start w:val="1"/>
      <w:numFmt w:val="decimal"/>
      <w:pStyle w:val="AltssqSection"/>
      <w:suff w:val="space"/>
      <w:lvlText w:val="Section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0D44A5"/>
    <w:multiLevelType w:val="multilevel"/>
    <w:tmpl w:val="6918195C"/>
    <w:lvl w:ilvl="0">
      <w:start w:val="1"/>
      <w:numFmt w:val="decimal"/>
      <w:lvlRestart w:val="0"/>
      <w:pStyle w:val="ssqDeel"/>
      <w:suff w:val="nothing"/>
      <w:lvlText w:val="de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4130019E"/>
    <w:multiLevelType w:val="multilevel"/>
    <w:tmpl w:val="BF5EEB72"/>
    <w:lvl w:ilvl="0">
      <w:start w:val="1"/>
      <w:numFmt w:val="decimal"/>
      <w:lvlRestart w:val="0"/>
      <w:pStyle w:val="ssqBijlage"/>
      <w:suff w:val="nothing"/>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41732064"/>
    <w:multiLevelType w:val="multilevel"/>
    <w:tmpl w:val="4FD06410"/>
    <w:lvl w:ilvl="0">
      <w:start w:val="1"/>
      <w:numFmt w:val="decimal"/>
      <w:lvlRestart w:val="0"/>
      <w:pStyle w:val="ssq1"/>
      <w:suff w:val="nothing"/>
      <w:lvlText w:val="ال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400737D"/>
    <w:multiLevelType w:val="multilevel"/>
    <w:tmpl w:val="E7E6E518"/>
    <w:lvl w:ilvl="0">
      <w:start w:val="1"/>
      <w:numFmt w:val="none"/>
      <w:pStyle w:val="ssRestartNumber"/>
      <w:suff w:val="nothing"/>
      <w:lvlText w:val="%1"/>
      <w:lvlJc w:val="left"/>
      <w:pPr>
        <w:ind w:left="0" w:firstLine="0"/>
      </w:pPr>
      <w:rPr>
        <w:rFonts w:hint="default"/>
      </w:rPr>
    </w:lvl>
    <w:lvl w:ilvl="1">
      <w:start w:val="1"/>
      <w:numFmt w:val="none"/>
      <w:pStyle w:val="Heading1"/>
      <w:lvlText w:val=""/>
      <w:lvlJc w:val="left"/>
      <w:pPr>
        <w:tabs>
          <w:tab w:val="num" w:pos="709"/>
        </w:tabs>
        <w:ind w:left="0" w:firstLine="0"/>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Text w:val=""/>
      <w:lvlJc w:val="left"/>
      <w:pPr>
        <w:ind w:left="0" w:firstLine="0"/>
      </w:pPr>
      <w:rPr>
        <w:rFonts w:hint="default"/>
      </w:rPr>
    </w:lvl>
  </w:abstractNum>
  <w:abstractNum w:abstractNumId="49" w15:restartNumberingAfterBreak="0">
    <w:nsid w:val="464E539F"/>
    <w:multiLevelType w:val="multilevel"/>
    <w:tmpl w:val="576C219E"/>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7B81A94"/>
    <w:multiLevelType w:val="hybridMultilevel"/>
    <w:tmpl w:val="8A821744"/>
    <w:lvl w:ilvl="0" w:tplc="2D5EEA2A">
      <w:numFmt w:val="bullet"/>
      <w:lvlText w:val="-"/>
      <w:lvlJc w:val="left"/>
      <w:pPr>
        <w:ind w:left="2346" w:hanging="360"/>
      </w:pPr>
      <w:rPr>
        <w:rFonts w:ascii="Calibri" w:eastAsia="Calibri" w:hAnsi="Calibri" w:cs="Calibri"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1" w15:restartNumberingAfterBreak="0">
    <w:nsid w:val="47E97851"/>
    <w:multiLevelType w:val="multilevel"/>
    <w:tmpl w:val="CDB633F6"/>
    <w:lvl w:ilvl="0">
      <w:start w:val="1"/>
      <w:numFmt w:val="decimal"/>
      <w:lvlRestart w:val="0"/>
      <w:pStyle w:val="ssqMostrar"/>
      <w:suff w:val="nothing"/>
      <w:lvlText w:val="mostr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486C2ACA"/>
    <w:multiLevelType w:val="multilevel"/>
    <w:tmpl w:val="B4525B04"/>
    <w:lvl w:ilvl="0">
      <w:start w:val="1"/>
      <w:numFmt w:val="decimal"/>
      <w:lvlRestart w:val="0"/>
      <w:pStyle w:val="ssqPartie"/>
      <w:suff w:val="nothing"/>
      <w:lvlText w:val="par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8982831"/>
    <w:multiLevelType w:val="multilevel"/>
    <w:tmpl w:val="91E2079E"/>
    <w:styleLink w:val="AltAnnex"/>
    <w:lvl w:ilvl="0">
      <w:start w:val="1"/>
      <w:numFmt w:val="none"/>
      <w:pStyle w:val="AltRestartAnnex"/>
      <w:suff w:val="nothing"/>
      <w:lvlText w:val=""/>
      <w:lvlJc w:val="left"/>
      <w:pPr>
        <w:ind w:left="0" w:firstLine="0"/>
      </w:pPr>
      <w:rPr>
        <w:rFonts w:hint="default"/>
      </w:rPr>
    </w:lvl>
    <w:lvl w:ilvl="1">
      <w:start w:val="1"/>
      <w:numFmt w:val="decimal"/>
      <w:pStyle w:val="AltSSQAnnex"/>
      <w:suff w:val="space"/>
      <w:lvlText w:val="Anne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BE97993"/>
    <w:multiLevelType w:val="multilevel"/>
    <w:tmpl w:val="E0FA8E66"/>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F193B13"/>
    <w:multiLevelType w:val="hybridMultilevel"/>
    <w:tmpl w:val="28ACA62C"/>
    <w:lvl w:ilvl="0" w:tplc="EDD6BF02">
      <w:start w:val="1"/>
      <w:numFmt w:val="upperLetter"/>
      <w:pStyle w:val="ssUserEntryLett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F1A6F9C"/>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4FC8033B"/>
    <w:multiLevelType w:val="multilevel"/>
    <w:tmpl w:val="B53062B0"/>
    <w:styleLink w:val="AltAppendix"/>
    <w:lvl w:ilvl="0">
      <w:start w:val="1"/>
      <w:numFmt w:val="none"/>
      <w:pStyle w:val="AltssRestartAppendix"/>
      <w:suff w:val="nothing"/>
      <w:lvlText w:val=""/>
      <w:lvlJc w:val="left"/>
      <w:pPr>
        <w:ind w:left="0" w:firstLine="0"/>
      </w:pPr>
      <w:rPr>
        <w:rFonts w:hint="default"/>
      </w:rPr>
    </w:lvl>
    <w:lvl w:ilvl="1">
      <w:start w:val="1"/>
      <w:numFmt w:val="decimal"/>
      <w:pStyle w:val="AltssqAppendix"/>
      <w:suff w:val="space"/>
      <w:lvlText w:val="Appendix %2"/>
      <w:lvlJc w:val="left"/>
      <w:pPr>
        <w:ind w:left="0" w:firstLine="0"/>
      </w:pPr>
      <w:rPr>
        <w:rFonts w:hint="default"/>
        <w:caps/>
        <w:vanish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7E071B"/>
    <w:multiLevelType w:val="multilevel"/>
    <w:tmpl w:val="9496A6FC"/>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792175"/>
    <w:multiLevelType w:val="multilevel"/>
    <w:tmpl w:val="47285A8A"/>
    <w:lvl w:ilvl="0">
      <w:start w:val="1"/>
      <w:numFmt w:val="decimal"/>
      <w:lvlRestart w:val="0"/>
      <w:pStyle w:val="ssqAgendar"/>
      <w:suff w:val="nothing"/>
      <w:lvlText w:val="agend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62B7FD0"/>
    <w:multiLevelType w:val="multilevel"/>
    <w:tmpl w:val="DB62E806"/>
    <w:lvl w:ilvl="0">
      <w:start w:val="1"/>
      <w:numFmt w:val="decimal"/>
      <w:lvlRestart w:val="0"/>
      <w:pStyle w:val="ssq2"/>
      <w:suff w:val="nothing"/>
      <w:lvlText w:val="ال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7C02942"/>
    <w:multiLevelType w:val="multilevel"/>
    <w:tmpl w:val="1CD2F3B0"/>
    <w:lvl w:ilvl="0">
      <w:start w:val="1"/>
      <w:numFmt w:val="none"/>
      <w:lvlRestart w:val="0"/>
      <w:pStyle w:val="ssRestartScheda"/>
      <w:suff w:val="space"/>
      <w:lvlText w:val=""/>
      <w:lvlJc w:val="left"/>
      <w:pPr>
        <w:ind w:left="0" w:firstLine="0"/>
      </w:pPr>
      <w:rPr>
        <w:rFonts w:hint="default"/>
      </w:rPr>
    </w:lvl>
    <w:lvl w:ilvl="1">
      <w:start w:val="1"/>
      <w:numFmt w:val="decimal"/>
      <w:suff w:val="nothing"/>
      <w:lvlText w:val="scheda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5A3E4695"/>
    <w:multiLevelType w:val="multilevel"/>
    <w:tmpl w:val="B53062B0"/>
    <w:numStyleLink w:val="AltAppendix"/>
  </w:abstractNum>
  <w:abstractNum w:abstractNumId="64" w15:restartNumberingAfterBreak="0">
    <w:nsid w:val="5A7A565D"/>
    <w:multiLevelType w:val="multilevel"/>
    <w:tmpl w:val="835A9C6C"/>
    <w:styleLink w:val="NumAltDefinitions"/>
    <w:lvl w:ilvl="0">
      <w:start w:val="1"/>
      <w:numFmt w:val="none"/>
      <w:lvlText w:val=""/>
      <w:lvlJc w:val="left"/>
      <w:pPr>
        <w:tabs>
          <w:tab w:val="num" w:pos="1644"/>
        </w:tabs>
        <w:ind w:left="709" w:firstLine="0"/>
      </w:pPr>
      <w:rPr>
        <w:rFonts w:hint="default"/>
      </w:rPr>
    </w:lvl>
    <w:lvl w:ilvl="1">
      <w:start w:val="1"/>
      <w:numFmt w:val="upperLetter"/>
      <w:lvlText w:val="(%2)"/>
      <w:lvlJc w:val="left"/>
      <w:pPr>
        <w:tabs>
          <w:tab w:val="num" w:pos="1418"/>
        </w:tabs>
        <w:ind w:left="1418"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6" w15:restartNumberingAfterBreak="0">
    <w:nsid w:val="5BF470F7"/>
    <w:multiLevelType w:val="multilevel"/>
    <w:tmpl w:val="0190697E"/>
    <w:lvl w:ilvl="0">
      <w:start w:val="1"/>
      <w:numFmt w:val="decimal"/>
      <w:lvlRestart w:val="0"/>
      <w:pStyle w:val="ssqPrograma"/>
      <w:suff w:val="nothing"/>
      <w:lvlText w:val="progra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7" w15:restartNumberingAfterBreak="0">
    <w:nsid w:val="5BFB0315"/>
    <w:multiLevelType w:val="multilevel"/>
    <w:tmpl w:val="7F324546"/>
    <w:lvl w:ilvl="0">
      <w:start w:val="1"/>
      <w:numFmt w:val="decimal"/>
      <w:lvlRestart w:val="0"/>
      <w:pStyle w:val="ssqAppendice"/>
      <w:suff w:val="nothing"/>
      <w:lvlText w:val="appe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615F32C4"/>
    <w:multiLevelType w:val="multilevel"/>
    <w:tmpl w:val="F8C8927A"/>
    <w:lvl w:ilvl="0">
      <w:start w:val="1"/>
      <w:numFmt w:val="decimal"/>
      <w:lvlRestart w:val="0"/>
      <w:pStyle w:val="ssqCalendario"/>
      <w:suff w:val="nothing"/>
      <w:lvlText w:val="calendari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9" w15:restartNumberingAfterBreak="0">
    <w:nsid w:val="64B70B2F"/>
    <w:multiLevelType w:val="multilevel"/>
    <w:tmpl w:val="DB26FA74"/>
    <w:lvl w:ilvl="0">
      <w:start w:val="1"/>
      <w:numFmt w:val="decimal"/>
      <w:lvlRestart w:val="0"/>
      <w:pStyle w:val="ssq3"/>
      <w:suff w:val="nothing"/>
      <w:lvlText w:val="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0" w15:restartNumberingAfterBreak="0">
    <w:nsid w:val="66ED5EBD"/>
    <w:multiLevelType w:val="multilevel"/>
    <w:tmpl w:val="79F4E1C4"/>
    <w:lvl w:ilvl="0">
      <w:start w:val="1"/>
      <w:numFmt w:val="bullet"/>
      <w:lvlText w:val=""/>
      <w:lvlJc w:val="left"/>
      <w:pPr>
        <w:tabs>
          <w:tab w:val="decimal" w:pos="216"/>
        </w:tabs>
        <w:ind w:left="720"/>
      </w:pPr>
      <w:rPr>
        <w:rFonts w:ascii="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5C02D9"/>
    <w:multiLevelType w:val="multilevel"/>
    <w:tmpl w:val="07580F90"/>
    <w:lvl w:ilvl="0">
      <w:start w:val="1"/>
      <w:numFmt w:val="decimal"/>
      <w:lvlRestart w:val="0"/>
      <w:pStyle w:val="ssqBewijsstuk"/>
      <w:suff w:val="nothing"/>
      <w:lvlText w:val="bewijs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2" w15:restartNumberingAfterBreak="0">
    <w:nsid w:val="68CD5981"/>
    <w:multiLevelType w:val="multilevel"/>
    <w:tmpl w:val="C2D87C8A"/>
    <w:lvl w:ilvl="0">
      <w:start w:val="1"/>
      <w:numFmt w:val="decimal"/>
      <w:lvlRestart w:val="0"/>
      <w:pStyle w:val="ssqExibir"/>
      <w:suff w:val="nothing"/>
      <w:lvlText w:val="exibi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6A200A64"/>
    <w:multiLevelType w:val="multilevel"/>
    <w:tmpl w:val="B60C81CC"/>
    <w:numStyleLink w:val="NumPara"/>
  </w:abstractNum>
  <w:abstractNum w:abstractNumId="74" w15:restartNumberingAfterBreak="0">
    <w:nsid w:val="6B031620"/>
    <w:multiLevelType w:val="multilevel"/>
    <w:tmpl w:val="92F68528"/>
    <w:lvl w:ilvl="0">
      <w:start w:val="1"/>
      <w:numFmt w:val="decimal"/>
      <w:lvlRestart w:val="0"/>
      <w:pStyle w:val="ssqSeccin"/>
      <w:suff w:val="nothing"/>
      <w:lvlText w:val="secció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5" w15:restartNumberingAfterBreak="0">
    <w:nsid w:val="6C442BF6"/>
    <w:multiLevelType w:val="multilevel"/>
    <w:tmpl w:val="64489968"/>
    <w:lvl w:ilvl="0">
      <w:start w:val="1"/>
      <w:numFmt w:val="none"/>
      <w:pStyle w:val="AltssRestartSchedule"/>
      <w:suff w:val="nothing"/>
      <w:lvlText w:val=""/>
      <w:lvlJc w:val="left"/>
      <w:pPr>
        <w:ind w:left="0" w:firstLine="0"/>
      </w:pPr>
      <w:rPr>
        <w:rFonts w:hint="default"/>
      </w:rPr>
    </w:lvl>
    <w:lvl w:ilvl="1">
      <w:start w:val="1"/>
      <w:numFmt w:val="decimal"/>
      <w:pStyle w:val="AltSSQSchedule"/>
      <w:suff w:val="space"/>
      <w:lvlText w:val="Schedule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DA357CF"/>
    <w:multiLevelType w:val="multilevel"/>
    <w:tmpl w:val="98D6E89E"/>
    <w:styleLink w:val="AltNumRecitals"/>
    <w:lvl w:ilvl="0">
      <w:start w:val="1"/>
      <w:numFmt w:val="upperLetter"/>
      <w:pStyle w:val="AltRecitals"/>
      <w:lvlText w:val="(%1)"/>
      <w:lvlJc w:val="left"/>
      <w:pPr>
        <w:tabs>
          <w:tab w:val="num" w:pos="709"/>
        </w:tabs>
        <w:ind w:left="709" w:hanging="70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7" w15:restartNumberingAfterBreak="0">
    <w:nsid w:val="6F7F2C65"/>
    <w:multiLevelType w:val="multilevel"/>
    <w:tmpl w:val="03FE7BEC"/>
    <w:lvl w:ilvl="0">
      <w:start w:val="1"/>
      <w:numFmt w:val="decimal"/>
      <w:lvlRestart w:val="0"/>
      <w:pStyle w:val="ssq4"/>
      <w:suff w:val="nothing"/>
      <w:lvlText w:val="قسم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79" w15:restartNumberingAfterBreak="0">
    <w:nsid w:val="761C560F"/>
    <w:multiLevelType w:val="multilevel"/>
    <w:tmpl w:val="CC54312C"/>
    <w:lvl w:ilvl="0">
      <w:start w:val="1"/>
      <w:numFmt w:val="decimal"/>
      <w:lvlRestart w:val="0"/>
      <w:pStyle w:val="ssq5"/>
      <w:suff w:val="nothing"/>
      <w:lvlText w:val="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7A2C410F"/>
    <w:multiLevelType w:val="hybridMultilevel"/>
    <w:tmpl w:val="929CD210"/>
    <w:lvl w:ilvl="0" w:tplc="1E642FDC">
      <w:start w:val="1"/>
      <w:numFmt w:val="decimal"/>
      <w:pStyle w:val="ssUserEntryNumb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B8037EF"/>
    <w:multiLevelType w:val="multilevel"/>
    <w:tmpl w:val="7F0ECB28"/>
    <w:lvl w:ilvl="0">
      <w:start w:val="1"/>
      <w:numFmt w:val="decimal"/>
      <w:lvlRestart w:val="0"/>
      <w:pStyle w:val="ssqAnhang"/>
      <w:suff w:val="nothing"/>
      <w:lvlText w:val="anhang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49684708">
    <w:abstractNumId w:val="0"/>
  </w:num>
  <w:num w:numId="2" w16cid:durableId="1097672617">
    <w:abstractNumId w:val="70"/>
  </w:num>
  <w:num w:numId="3" w16cid:durableId="1092428889">
    <w:abstractNumId w:val="10"/>
  </w:num>
  <w:num w:numId="4" w16cid:durableId="406463474">
    <w:abstractNumId w:val="2"/>
  </w:num>
  <w:num w:numId="5" w16cid:durableId="998922573">
    <w:abstractNumId w:val="50"/>
  </w:num>
  <w:num w:numId="6" w16cid:durableId="988554287">
    <w:abstractNumId w:val="53"/>
  </w:num>
  <w:num w:numId="7" w16cid:durableId="1506557010">
    <w:abstractNumId w:val="57"/>
  </w:num>
  <w:num w:numId="8" w16cid:durableId="2127305643">
    <w:abstractNumId w:val="3"/>
  </w:num>
  <w:num w:numId="9" w16cid:durableId="458109734">
    <w:abstractNumId w:val="38"/>
  </w:num>
  <w:num w:numId="10" w16cid:durableId="858857124">
    <w:abstractNumId w:val="76"/>
  </w:num>
  <w:num w:numId="11" w16cid:durableId="13194846">
    <w:abstractNumId w:val="76"/>
  </w:num>
  <w:num w:numId="12" w16cid:durableId="1232347948">
    <w:abstractNumId w:val="33"/>
  </w:num>
  <w:num w:numId="13" w16cid:durableId="132722679">
    <w:abstractNumId w:val="43"/>
  </w:num>
  <w:num w:numId="14" w16cid:durableId="647172158">
    <w:abstractNumId w:val="53"/>
  </w:num>
  <w:num w:numId="15" w16cid:durableId="754597228">
    <w:abstractNumId w:val="32"/>
  </w:num>
  <w:num w:numId="16" w16cid:durableId="997536194">
    <w:abstractNumId w:val="63"/>
  </w:num>
  <w:num w:numId="17" w16cid:durableId="756635656">
    <w:abstractNumId w:val="24"/>
  </w:num>
  <w:num w:numId="18" w16cid:durableId="753942444">
    <w:abstractNumId w:val="20"/>
  </w:num>
  <w:num w:numId="19" w16cid:durableId="1937246711">
    <w:abstractNumId w:val="32"/>
  </w:num>
  <w:num w:numId="20" w16cid:durableId="192693383">
    <w:abstractNumId w:val="75"/>
  </w:num>
  <w:num w:numId="21" w16cid:durableId="576280648">
    <w:abstractNumId w:val="43"/>
  </w:num>
  <w:num w:numId="22" w16cid:durableId="109713763">
    <w:abstractNumId w:val="49"/>
  </w:num>
  <w:num w:numId="23" w16cid:durableId="1656488520">
    <w:abstractNumId w:val="17"/>
  </w:num>
  <w:num w:numId="24" w16cid:durableId="864488293">
    <w:abstractNumId w:val="14"/>
  </w:num>
  <w:num w:numId="25" w16cid:durableId="2007005252">
    <w:abstractNumId w:val="78"/>
  </w:num>
  <w:num w:numId="26" w16cid:durableId="700672935">
    <w:abstractNumId w:val="64"/>
  </w:num>
  <w:num w:numId="27" w16cid:durableId="843011481">
    <w:abstractNumId w:val="12"/>
  </w:num>
  <w:num w:numId="28" w16cid:durableId="55132154">
    <w:abstractNumId w:val="26"/>
  </w:num>
  <w:num w:numId="29" w16cid:durableId="330446271">
    <w:abstractNumId w:val="42"/>
  </w:num>
  <w:num w:numId="30" w16cid:durableId="201675193">
    <w:abstractNumId w:val="35"/>
  </w:num>
  <w:num w:numId="31" w16cid:durableId="1791165069">
    <w:abstractNumId w:val="65"/>
  </w:num>
  <w:num w:numId="32" w16cid:durableId="293025924">
    <w:abstractNumId w:val="13"/>
  </w:num>
  <w:num w:numId="33" w16cid:durableId="1301426835">
    <w:abstractNumId w:val="48"/>
  </w:num>
  <w:num w:numId="34" w16cid:durableId="2129425786">
    <w:abstractNumId w:val="4"/>
  </w:num>
  <w:num w:numId="35" w16cid:durableId="287903977">
    <w:abstractNumId w:val="7"/>
  </w:num>
  <w:num w:numId="36" w16cid:durableId="1437290490">
    <w:abstractNumId w:val="39"/>
  </w:num>
  <w:num w:numId="37" w16cid:durableId="1897473747">
    <w:abstractNumId w:val="40"/>
  </w:num>
  <w:num w:numId="38" w16cid:durableId="1160198795">
    <w:abstractNumId w:val="59"/>
  </w:num>
  <w:num w:numId="39" w16cid:durableId="639771873">
    <w:abstractNumId w:val="23"/>
  </w:num>
  <w:num w:numId="40" w16cid:durableId="120541046">
    <w:abstractNumId w:val="60"/>
  </w:num>
  <w:num w:numId="41" w16cid:durableId="475225440">
    <w:abstractNumId w:val="81"/>
  </w:num>
  <w:num w:numId="42" w16cid:durableId="1764644222">
    <w:abstractNumId w:val="22"/>
  </w:num>
  <w:num w:numId="43" w16cid:durableId="790323256">
    <w:abstractNumId w:val="16"/>
  </w:num>
  <w:num w:numId="44" w16cid:durableId="371812017">
    <w:abstractNumId w:val="25"/>
  </w:num>
  <w:num w:numId="45" w16cid:durableId="1687558384">
    <w:abstractNumId w:val="67"/>
  </w:num>
  <w:num w:numId="46" w16cid:durableId="1286501104">
    <w:abstractNumId w:val="41"/>
  </w:num>
  <w:num w:numId="47" w16cid:durableId="815144014">
    <w:abstractNumId w:val="71"/>
  </w:num>
  <w:num w:numId="48" w16cid:durableId="354771045">
    <w:abstractNumId w:val="45"/>
  </w:num>
  <w:num w:numId="49" w16cid:durableId="1293824038">
    <w:abstractNumId w:val="68"/>
  </w:num>
  <w:num w:numId="50" w16cid:durableId="1376810192">
    <w:abstractNumId w:val="44"/>
  </w:num>
  <w:num w:numId="51" w16cid:durableId="1622883109">
    <w:abstractNumId w:val="72"/>
  </w:num>
  <w:num w:numId="52" w16cid:durableId="827332021">
    <w:abstractNumId w:val="15"/>
  </w:num>
  <w:num w:numId="53" w16cid:durableId="2031107918">
    <w:abstractNumId w:val="8"/>
  </w:num>
  <w:num w:numId="54" w16cid:durableId="1568951007">
    <w:abstractNumId w:val="37"/>
  </w:num>
  <w:num w:numId="55" w16cid:durableId="461114593">
    <w:abstractNumId w:val="11"/>
  </w:num>
  <w:num w:numId="56" w16cid:durableId="1422336008">
    <w:abstractNumId w:val="51"/>
  </w:num>
  <w:num w:numId="57" w16cid:durableId="466120228">
    <w:abstractNumId w:val="9"/>
  </w:num>
  <w:num w:numId="58" w16cid:durableId="611741583">
    <w:abstractNumId w:val="52"/>
  </w:num>
  <w:num w:numId="59" w16cid:durableId="105001345">
    <w:abstractNumId w:val="29"/>
  </w:num>
  <w:num w:numId="60" w16cid:durableId="1806847421">
    <w:abstractNumId w:val="66"/>
  </w:num>
  <w:num w:numId="61" w16cid:durableId="516697078">
    <w:abstractNumId w:val="34"/>
  </w:num>
  <w:num w:numId="62" w16cid:durableId="2059745233">
    <w:abstractNumId w:val="18"/>
  </w:num>
  <w:num w:numId="63" w16cid:durableId="2035306074">
    <w:abstractNumId w:val="74"/>
  </w:num>
  <w:num w:numId="64" w16cid:durableId="133254836">
    <w:abstractNumId w:val="19"/>
  </w:num>
  <w:num w:numId="65" w16cid:durableId="118577505">
    <w:abstractNumId w:val="61"/>
  </w:num>
  <w:num w:numId="66" w16cid:durableId="443383372">
    <w:abstractNumId w:val="21"/>
  </w:num>
  <w:num w:numId="67" w16cid:durableId="50615208">
    <w:abstractNumId w:val="46"/>
  </w:num>
  <w:num w:numId="68" w16cid:durableId="236402969">
    <w:abstractNumId w:val="79"/>
  </w:num>
  <w:num w:numId="69" w16cid:durableId="833683661">
    <w:abstractNumId w:val="77"/>
  </w:num>
  <w:num w:numId="70" w16cid:durableId="1981811179">
    <w:abstractNumId w:val="5"/>
  </w:num>
  <w:num w:numId="71" w16cid:durableId="638220120">
    <w:abstractNumId w:val="69"/>
  </w:num>
  <w:num w:numId="72" w16cid:durableId="1084765619">
    <w:abstractNumId w:val="1"/>
  </w:num>
  <w:num w:numId="73" w16cid:durableId="1204977160">
    <w:abstractNumId w:val="6"/>
  </w:num>
  <w:num w:numId="74" w16cid:durableId="1530223326">
    <w:abstractNumId w:val="27"/>
  </w:num>
  <w:num w:numId="75" w16cid:durableId="1245215552">
    <w:abstractNumId w:val="30"/>
  </w:num>
  <w:num w:numId="76" w16cid:durableId="545684491">
    <w:abstractNumId w:val="47"/>
  </w:num>
  <w:num w:numId="77" w16cid:durableId="277758308">
    <w:abstractNumId w:val="58"/>
  </w:num>
  <w:num w:numId="78" w16cid:durableId="1794859865">
    <w:abstractNumId w:val="62"/>
  </w:num>
  <w:num w:numId="79" w16cid:durableId="521167523">
    <w:abstractNumId w:val="54"/>
  </w:num>
  <w:num w:numId="80" w16cid:durableId="1215702729">
    <w:abstractNumId w:val="28"/>
  </w:num>
  <w:num w:numId="81" w16cid:durableId="426314830">
    <w:abstractNumId w:val="55"/>
  </w:num>
  <w:num w:numId="82" w16cid:durableId="805586872">
    <w:abstractNumId w:val="80"/>
  </w:num>
  <w:num w:numId="83" w16cid:durableId="398747769">
    <w:abstractNumId w:val="73"/>
  </w:num>
  <w:num w:numId="84" w16cid:durableId="20286799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4D"/>
    <w:rsid w:val="000003A1"/>
    <w:rsid w:val="000024F7"/>
    <w:rsid w:val="00002943"/>
    <w:rsid w:val="00003D07"/>
    <w:rsid w:val="00003F5C"/>
    <w:rsid w:val="00004B05"/>
    <w:rsid w:val="00013486"/>
    <w:rsid w:val="000141E4"/>
    <w:rsid w:val="00015BD2"/>
    <w:rsid w:val="000206F0"/>
    <w:rsid w:val="00031315"/>
    <w:rsid w:val="000334E5"/>
    <w:rsid w:val="000355F4"/>
    <w:rsid w:val="00036C4C"/>
    <w:rsid w:val="00041EF6"/>
    <w:rsid w:val="00042E11"/>
    <w:rsid w:val="00051BBA"/>
    <w:rsid w:val="00054EC9"/>
    <w:rsid w:val="000628A3"/>
    <w:rsid w:val="000631CF"/>
    <w:rsid w:val="00065F52"/>
    <w:rsid w:val="00072A93"/>
    <w:rsid w:val="00073702"/>
    <w:rsid w:val="00076D0B"/>
    <w:rsid w:val="00077611"/>
    <w:rsid w:val="000824AD"/>
    <w:rsid w:val="000903C7"/>
    <w:rsid w:val="00090ECB"/>
    <w:rsid w:val="00095452"/>
    <w:rsid w:val="00095A82"/>
    <w:rsid w:val="000A0C9D"/>
    <w:rsid w:val="000A1FAF"/>
    <w:rsid w:val="000A394F"/>
    <w:rsid w:val="000B1BA4"/>
    <w:rsid w:val="000B2402"/>
    <w:rsid w:val="000B255F"/>
    <w:rsid w:val="000B39D9"/>
    <w:rsid w:val="000B6662"/>
    <w:rsid w:val="000C6292"/>
    <w:rsid w:val="000C74D6"/>
    <w:rsid w:val="000D02A0"/>
    <w:rsid w:val="000D197B"/>
    <w:rsid w:val="000D36DF"/>
    <w:rsid w:val="000D42BB"/>
    <w:rsid w:val="000D4F10"/>
    <w:rsid w:val="000E7432"/>
    <w:rsid w:val="000F0867"/>
    <w:rsid w:val="000F23BC"/>
    <w:rsid w:val="000F3DED"/>
    <w:rsid w:val="000F5AAA"/>
    <w:rsid w:val="000F5B1C"/>
    <w:rsid w:val="00100252"/>
    <w:rsid w:val="00101529"/>
    <w:rsid w:val="001020B6"/>
    <w:rsid w:val="00104ADD"/>
    <w:rsid w:val="001077BA"/>
    <w:rsid w:val="00110CFF"/>
    <w:rsid w:val="00112FFF"/>
    <w:rsid w:val="00115242"/>
    <w:rsid w:val="00132657"/>
    <w:rsid w:val="001348BA"/>
    <w:rsid w:val="00137914"/>
    <w:rsid w:val="00137B42"/>
    <w:rsid w:val="00143C69"/>
    <w:rsid w:val="001459E6"/>
    <w:rsid w:val="00147D43"/>
    <w:rsid w:val="0015369B"/>
    <w:rsid w:val="0015491C"/>
    <w:rsid w:val="00156F7C"/>
    <w:rsid w:val="00160F0A"/>
    <w:rsid w:val="001672EF"/>
    <w:rsid w:val="00170C5A"/>
    <w:rsid w:val="00170D31"/>
    <w:rsid w:val="00176282"/>
    <w:rsid w:val="00183D1A"/>
    <w:rsid w:val="00187AF1"/>
    <w:rsid w:val="00191B2E"/>
    <w:rsid w:val="00194706"/>
    <w:rsid w:val="001A2E90"/>
    <w:rsid w:val="001A3499"/>
    <w:rsid w:val="001A5F57"/>
    <w:rsid w:val="001B1B95"/>
    <w:rsid w:val="001B23B0"/>
    <w:rsid w:val="001B6055"/>
    <w:rsid w:val="001B615F"/>
    <w:rsid w:val="001B62B3"/>
    <w:rsid w:val="001C1503"/>
    <w:rsid w:val="001C51B8"/>
    <w:rsid w:val="001C612A"/>
    <w:rsid w:val="001E20E6"/>
    <w:rsid w:val="001E2351"/>
    <w:rsid w:val="001F2DCE"/>
    <w:rsid w:val="001F3897"/>
    <w:rsid w:val="001F66EF"/>
    <w:rsid w:val="00201541"/>
    <w:rsid w:val="002029DE"/>
    <w:rsid w:val="00203B67"/>
    <w:rsid w:val="0021234E"/>
    <w:rsid w:val="002160E9"/>
    <w:rsid w:val="00217574"/>
    <w:rsid w:val="0023126F"/>
    <w:rsid w:val="00235E31"/>
    <w:rsid w:val="00240DDE"/>
    <w:rsid w:val="00242F6E"/>
    <w:rsid w:val="00243B6E"/>
    <w:rsid w:val="00243DC6"/>
    <w:rsid w:val="002441C5"/>
    <w:rsid w:val="00245A13"/>
    <w:rsid w:val="0024677C"/>
    <w:rsid w:val="0025272E"/>
    <w:rsid w:val="00254B33"/>
    <w:rsid w:val="0026080F"/>
    <w:rsid w:val="00260FCA"/>
    <w:rsid w:val="00263008"/>
    <w:rsid w:val="00270782"/>
    <w:rsid w:val="00276E19"/>
    <w:rsid w:val="0028176C"/>
    <w:rsid w:val="0028693A"/>
    <w:rsid w:val="002947C7"/>
    <w:rsid w:val="00295908"/>
    <w:rsid w:val="002A0300"/>
    <w:rsid w:val="002A6D03"/>
    <w:rsid w:val="002A7C2C"/>
    <w:rsid w:val="002B315B"/>
    <w:rsid w:val="002C133E"/>
    <w:rsid w:val="002C5EA9"/>
    <w:rsid w:val="002C7C51"/>
    <w:rsid w:val="002D04B0"/>
    <w:rsid w:val="002D61C1"/>
    <w:rsid w:val="002D73A1"/>
    <w:rsid w:val="002D7B44"/>
    <w:rsid w:val="002E25A8"/>
    <w:rsid w:val="002E2EF0"/>
    <w:rsid w:val="002E3295"/>
    <w:rsid w:val="002F20BB"/>
    <w:rsid w:val="002F65C2"/>
    <w:rsid w:val="00304A11"/>
    <w:rsid w:val="00311F00"/>
    <w:rsid w:val="003165CE"/>
    <w:rsid w:val="003216D3"/>
    <w:rsid w:val="00322679"/>
    <w:rsid w:val="00326AAF"/>
    <w:rsid w:val="00331BBC"/>
    <w:rsid w:val="00342A92"/>
    <w:rsid w:val="0034350C"/>
    <w:rsid w:val="00343FE6"/>
    <w:rsid w:val="0034739C"/>
    <w:rsid w:val="00354C6C"/>
    <w:rsid w:val="00355538"/>
    <w:rsid w:val="0036169E"/>
    <w:rsid w:val="003619F0"/>
    <w:rsid w:val="00364BFE"/>
    <w:rsid w:val="00384B66"/>
    <w:rsid w:val="0038642E"/>
    <w:rsid w:val="00387B42"/>
    <w:rsid w:val="00387DC6"/>
    <w:rsid w:val="00391110"/>
    <w:rsid w:val="0039162D"/>
    <w:rsid w:val="003A2D12"/>
    <w:rsid w:val="003A32E7"/>
    <w:rsid w:val="003A37AF"/>
    <w:rsid w:val="003A37C6"/>
    <w:rsid w:val="003A5509"/>
    <w:rsid w:val="003A635D"/>
    <w:rsid w:val="003A77A4"/>
    <w:rsid w:val="003B1943"/>
    <w:rsid w:val="003B721A"/>
    <w:rsid w:val="003B7F9B"/>
    <w:rsid w:val="003C1C87"/>
    <w:rsid w:val="003C6358"/>
    <w:rsid w:val="003D00EA"/>
    <w:rsid w:val="003D3C32"/>
    <w:rsid w:val="003D44DB"/>
    <w:rsid w:val="003D57C2"/>
    <w:rsid w:val="003E3892"/>
    <w:rsid w:val="003E773D"/>
    <w:rsid w:val="003F1A10"/>
    <w:rsid w:val="003F1D1F"/>
    <w:rsid w:val="003F2636"/>
    <w:rsid w:val="003F41CF"/>
    <w:rsid w:val="004118F4"/>
    <w:rsid w:val="004143B2"/>
    <w:rsid w:val="00416082"/>
    <w:rsid w:val="00417118"/>
    <w:rsid w:val="00421151"/>
    <w:rsid w:val="004273CE"/>
    <w:rsid w:val="00430F9F"/>
    <w:rsid w:val="00431B42"/>
    <w:rsid w:val="00436D5C"/>
    <w:rsid w:val="004431C3"/>
    <w:rsid w:val="00446A14"/>
    <w:rsid w:val="00462A44"/>
    <w:rsid w:val="00464592"/>
    <w:rsid w:val="004655B4"/>
    <w:rsid w:val="00465920"/>
    <w:rsid w:val="004663D2"/>
    <w:rsid w:val="004668DE"/>
    <w:rsid w:val="004730E3"/>
    <w:rsid w:val="00473BA0"/>
    <w:rsid w:val="00474652"/>
    <w:rsid w:val="00475E18"/>
    <w:rsid w:val="0048538F"/>
    <w:rsid w:val="00485986"/>
    <w:rsid w:val="00486D9D"/>
    <w:rsid w:val="004A159C"/>
    <w:rsid w:val="004A189D"/>
    <w:rsid w:val="004A384D"/>
    <w:rsid w:val="004A795F"/>
    <w:rsid w:val="004B059A"/>
    <w:rsid w:val="004B1281"/>
    <w:rsid w:val="004B172E"/>
    <w:rsid w:val="004B185E"/>
    <w:rsid w:val="004B50FA"/>
    <w:rsid w:val="004B5C6E"/>
    <w:rsid w:val="004B6447"/>
    <w:rsid w:val="004C1208"/>
    <w:rsid w:val="004C188C"/>
    <w:rsid w:val="004C25E2"/>
    <w:rsid w:val="004C355A"/>
    <w:rsid w:val="004C5096"/>
    <w:rsid w:val="004C5E6E"/>
    <w:rsid w:val="004D67AA"/>
    <w:rsid w:val="004E1681"/>
    <w:rsid w:val="004E778A"/>
    <w:rsid w:val="004F7017"/>
    <w:rsid w:val="005017FC"/>
    <w:rsid w:val="005036A3"/>
    <w:rsid w:val="005055DD"/>
    <w:rsid w:val="00514A9E"/>
    <w:rsid w:val="005166FF"/>
    <w:rsid w:val="00520EDA"/>
    <w:rsid w:val="0052122B"/>
    <w:rsid w:val="00521C4D"/>
    <w:rsid w:val="0053043A"/>
    <w:rsid w:val="00532CA0"/>
    <w:rsid w:val="00535B51"/>
    <w:rsid w:val="00544144"/>
    <w:rsid w:val="005472AE"/>
    <w:rsid w:val="00551B12"/>
    <w:rsid w:val="005524C3"/>
    <w:rsid w:val="005537E7"/>
    <w:rsid w:val="005613EA"/>
    <w:rsid w:val="00562F30"/>
    <w:rsid w:val="00566ACA"/>
    <w:rsid w:val="00566F4B"/>
    <w:rsid w:val="00570707"/>
    <w:rsid w:val="00571DCB"/>
    <w:rsid w:val="00572924"/>
    <w:rsid w:val="00587B73"/>
    <w:rsid w:val="00587D06"/>
    <w:rsid w:val="005907F4"/>
    <w:rsid w:val="00592B47"/>
    <w:rsid w:val="005A61AF"/>
    <w:rsid w:val="005B0E63"/>
    <w:rsid w:val="005B5349"/>
    <w:rsid w:val="005B7DE8"/>
    <w:rsid w:val="005B7E4C"/>
    <w:rsid w:val="005C111E"/>
    <w:rsid w:val="005C51CC"/>
    <w:rsid w:val="005D100D"/>
    <w:rsid w:val="005D5AD6"/>
    <w:rsid w:val="005E570C"/>
    <w:rsid w:val="005E5F21"/>
    <w:rsid w:val="005E5F22"/>
    <w:rsid w:val="005E5FD4"/>
    <w:rsid w:val="005E7A09"/>
    <w:rsid w:val="005F1E5A"/>
    <w:rsid w:val="005F4D25"/>
    <w:rsid w:val="00600E16"/>
    <w:rsid w:val="006069A4"/>
    <w:rsid w:val="00612CA9"/>
    <w:rsid w:val="006201C6"/>
    <w:rsid w:val="0062044D"/>
    <w:rsid w:val="006226BA"/>
    <w:rsid w:val="00631797"/>
    <w:rsid w:val="006441DC"/>
    <w:rsid w:val="006461C5"/>
    <w:rsid w:val="00656FB3"/>
    <w:rsid w:val="00657C11"/>
    <w:rsid w:val="006623D3"/>
    <w:rsid w:val="0066265F"/>
    <w:rsid w:val="006635C2"/>
    <w:rsid w:val="006703D4"/>
    <w:rsid w:val="006706A8"/>
    <w:rsid w:val="006710EA"/>
    <w:rsid w:val="006724BD"/>
    <w:rsid w:val="00674FB9"/>
    <w:rsid w:val="00680F39"/>
    <w:rsid w:val="00681892"/>
    <w:rsid w:val="00681B71"/>
    <w:rsid w:val="00690083"/>
    <w:rsid w:val="00694969"/>
    <w:rsid w:val="00696372"/>
    <w:rsid w:val="006A4F97"/>
    <w:rsid w:val="006A50F0"/>
    <w:rsid w:val="006A6174"/>
    <w:rsid w:val="006A6AD6"/>
    <w:rsid w:val="006A70D5"/>
    <w:rsid w:val="006B4499"/>
    <w:rsid w:val="006B462D"/>
    <w:rsid w:val="006B7250"/>
    <w:rsid w:val="006B729A"/>
    <w:rsid w:val="006B7CE6"/>
    <w:rsid w:val="006C2400"/>
    <w:rsid w:val="006D7687"/>
    <w:rsid w:val="006E00D0"/>
    <w:rsid w:val="006E035B"/>
    <w:rsid w:val="006E2BB1"/>
    <w:rsid w:val="006E719F"/>
    <w:rsid w:val="00711DD4"/>
    <w:rsid w:val="00717FFA"/>
    <w:rsid w:val="0072228D"/>
    <w:rsid w:val="007229E5"/>
    <w:rsid w:val="007268B6"/>
    <w:rsid w:val="0072711E"/>
    <w:rsid w:val="007363C9"/>
    <w:rsid w:val="00741C09"/>
    <w:rsid w:val="007475C0"/>
    <w:rsid w:val="00761D38"/>
    <w:rsid w:val="00767A5B"/>
    <w:rsid w:val="007718ED"/>
    <w:rsid w:val="00773575"/>
    <w:rsid w:val="0078018B"/>
    <w:rsid w:val="00783DF2"/>
    <w:rsid w:val="00785B5F"/>
    <w:rsid w:val="00792F1D"/>
    <w:rsid w:val="007A10A5"/>
    <w:rsid w:val="007A125D"/>
    <w:rsid w:val="007A6E1F"/>
    <w:rsid w:val="007B42C8"/>
    <w:rsid w:val="007B6044"/>
    <w:rsid w:val="007B71A7"/>
    <w:rsid w:val="007C1939"/>
    <w:rsid w:val="007C3791"/>
    <w:rsid w:val="007C40B4"/>
    <w:rsid w:val="007C6CB2"/>
    <w:rsid w:val="007D17C1"/>
    <w:rsid w:val="007D29C3"/>
    <w:rsid w:val="007D3C88"/>
    <w:rsid w:val="007D414D"/>
    <w:rsid w:val="007D789F"/>
    <w:rsid w:val="007E4371"/>
    <w:rsid w:val="007F1217"/>
    <w:rsid w:val="007F29AB"/>
    <w:rsid w:val="007F2BE9"/>
    <w:rsid w:val="007F2E4A"/>
    <w:rsid w:val="007F34E6"/>
    <w:rsid w:val="008048D3"/>
    <w:rsid w:val="00806AE6"/>
    <w:rsid w:val="0081451E"/>
    <w:rsid w:val="008179D6"/>
    <w:rsid w:val="00821DE8"/>
    <w:rsid w:val="008250A0"/>
    <w:rsid w:val="00826A8C"/>
    <w:rsid w:val="00830505"/>
    <w:rsid w:val="008342C1"/>
    <w:rsid w:val="00834CFC"/>
    <w:rsid w:val="00836418"/>
    <w:rsid w:val="0083688C"/>
    <w:rsid w:val="00841DD9"/>
    <w:rsid w:val="00844676"/>
    <w:rsid w:val="008468D1"/>
    <w:rsid w:val="0084760E"/>
    <w:rsid w:val="008601FA"/>
    <w:rsid w:val="00861051"/>
    <w:rsid w:val="00861B2E"/>
    <w:rsid w:val="008651E7"/>
    <w:rsid w:val="0087157F"/>
    <w:rsid w:val="00877C15"/>
    <w:rsid w:val="008843EC"/>
    <w:rsid w:val="00886E37"/>
    <w:rsid w:val="00890461"/>
    <w:rsid w:val="00890947"/>
    <w:rsid w:val="00895EC5"/>
    <w:rsid w:val="008A19F9"/>
    <w:rsid w:val="008B773D"/>
    <w:rsid w:val="008C16B4"/>
    <w:rsid w:val="008C2F7F"/>
    <w:rsid w:val="008C6BCD"/>
    <w:rsid w:val="008D228D"/>
    <w:rsid w:val="008E1B07"/>
    <w:rsid w:val="008E21D7"/>
    <w:rsid w:val="008E2BB3"/>
    <w:rsid w:val="008E3318"/>
    <w:rsid w:val="008E40A7"/>
    <w:rsid w:val="008E5F3A"/>
    <w:rsid w:val="008E7019"/>
    <w:rsid w:val="008F17C4"/>
    <w:rsid w:val="00901E07"/>
    <w:rsid w:val="00913C1D"/>
    <w:rsid w:val="00917D1C"/>
    <w:rsid w:val="009200DF"/>
    <w:rsid w:val="00923F19"/>
    <w:rsid w:val="00924327"/>
    <w:rsid w:val="00925538"/>
    <w:rsid w:val="00926A27"/>
    <w:rsid w:val="00927EC7"/>
    <w:rsid w:val="00930ED7"/>
    <w:rsid w:val="00931CB1"/>
    <w:rsid w:val="00933340"/>
    <w:rsid w:val="00934C9D"/>
    <w:rsid w:val="00945B4F"/>
    <w:rsid w:val="00945D52"/>
    <w:rsid w:val="00947834"/>
    <w:rsid w:val="00947859"/>
    <w:rsid w:val="009543F0"/>
    <w:rsid w:val="00955D95"/>
    <w:rsid w:val="009605AE"/>
    <w:rsid w:val="009646C7"/>
    <w:rsid w:val="009663BD"/>
    <w:rsid w:val="00971718"/>
    <w:rsid w:val="00971BD0"/>
    <w:rsid w:val="009750F5"/>
    <w:rsid w:val="009814A3"/>
    <w:rsid w:val="00984620"/>
    <w:rsid w:val="00987029"/>
    <w:rsid w:val="00994D59"/>
    <w:rsid w:val="00995FED"/>
    <w:rsid w:val="009960BA"/>
    <w:rsid w:val="00996E6E"/>
    <w:rsid w:val="009A1C84"/>
    <w:rsid w:val="009A349D"/>
    <w:rsid w:val="009B09B4"/>
    <w:rsid w:val="009B434E"/>
    <w:rsid w:val="009C750A"/>
    <w:rsid w:val="009D2670"/>
    <w:rsid w:val="009D2B43"/>
    <w:rsid w:val="009D6725"/>
    <w:rsid w:val="009D7280"/>
    <w:rsid w:val="009E141E"/>
    <w:rsid w:val="009E6248"/>
    <w:rsid w:val="009F03FA"/>
    <w:rsid w:val="009F39A8"/>
    <w:rsid w:val="009F4F03"/>
    <w:rsid w:val="00A008A8"/>
    <w:rsid w:val="00A022BD"/>
    <w:rsid w:val="00A05D5C"/>
    <w:rsid w:val="00A214F1"/>
    <w:rsid w:val="00A21D6F"/>
    <w:rsid w:val="00A22CBE"/>
    <w:rsid w:val="00A30B6C"/>
    <w:rsid w:val="00A32349"/>
    <w:rsid w:val="00A33E60"/>
    <w:rsid w:val="00A34B48"/>
    <w:rsid w:val="00A3555D"/>
    <w:rsid w:val="00A3691F"/>
    <w:rsid w:val="00A46BA8"/>
    <w:rsid w:val="00A51DDE"/>
    <w:rsid w:val="00A55C5B"/>
    <w:rsid w:val="00A55C76"/>
    <w:rsid w:val="00A67217"/>
    <w:rsid w:val="00A676EE"/>
    <w:rsid w:val="00A711B0"/>
    <w:rsid w:val="00A72BB4"/>
    <w:rsid w:val="00A72C22"/>
    <w:rsid w:val="00A72D8C"/>
    <w:rsid w:val="00A74271"/>
    <w:rsid w:val="00A8049C"/>
    <w:rsid w:val="00A82366"/>
    <w:rsid w:val="00A827BE"/>
    <w:rsid w:val="00A83E19"/>
    <w:rsid w:val="00A84F50"/>
    <w:rsid w:val="00A85F0B"/>
    <w:rsid w:val="00A86955"/>
    <w:rsid w:val="00A9142E"/>
    <w:rsid w:val="00A93536"/>
    <w:rsid w:val="00A94F7D"/>
    <w:rsid w:val="00AB26A0"/>
    <w:rsid w:val="00AB4F1B"/>
    <w:rsid w:val="00AB572F"/>
    <w:rsid w:val="00AB5BD3"/>
    <w:rsid w:val="00AC6640"/>
    <w:rsid w:val="00AD3689"/>
    <w:rsid w:val="00AE1E10"/>
    <w:rsid w:val="00AE5FF8"/>
    <w:rsid w:val="00AE7AF1"/>
    <w:rsid w:val="00AF04DF"/>
    <w:rsid w:val="00AF2E3F"/>
    <w:rsid w:val="00AF34F4"/>
    <w:rsid w:val="00AF53FE"/>
    <w:rsid w:val="00AF646C"/>
    <w:rsid w:val="00B015D9"/>
    <w:rsid w:val="00B01624"/>
    <w:rsid w:val="00B01B68"/>
    <w:rsid w:val="00B04296"/>
    <w:rsid w:val="00B10D66"/>
    <w:rsid w:val="00B13A51"/>
    <w:rsid w:val="00B166B5"/>
    <w:rsid w:val="00B17004"/>
    <w:rsid w:val="00B21FC1"/>
    <w:rsid w:val="00B22415"/>
    <w:rsid w:val="00B22863"/>
    <w:rsid w:val="00B26101"/>
    <w:rsid w:val="00B267C6"/>
    <w:rsid w:val="00B27ABB"/>
    <w:rsid w:val="00B350FA"/>
    <w:rsid w:val="00B372C7"/>
    <w:rsid w:val="00B51927"/>
    <w:rsid w:val="00B53D06"/>
    <w:rsid w:val="00B55263"/>
    <w:rsid w:val="00B6074B"/>
    <w:rsid w:val="00B615BB"/>
    <w:rsid w:val="00B652C8"/>
    <w:rsid w:val="00B712B5"/>
    <w:rsid w:val="00B81195"/>
    <w:rsid w:val="00B84B3A"/>
    <w:rsid w:val="00B84E28"/>
    <w:rsid w:val="00B86C81"/>
    <w:rsid w:val="00B90439"/>
    <w:rsid w:val="00B912E2"/>
    <w:rsid w:val="00BA6190"/>
    <w:rsid w:val="00BB148B"/>
    <w:rsid w:val="00BB6B9D"/>
    <w:rsid w:val="00BB7745"/>
    <w:rsid w:val="00BC2E54"/>
    <w:rsid w:val="00BC2FC4"/>
    <w:rsid w:val="00BD22D1"/>
    <w:rsid w:val="00BD286C"/>
    <w:rsid w:val="00BD61C3"/>
    <w:rsid w:val="00BE3E1A"/>
    <w:rsid w:val="00BE789A"/>
    <w:rsid w:val="00C03FE0"/>
    <w:rsid w:val="00C07799"/>
    <w:rsid w:val="00C24E70"/>
    <w:rsid w:val="00C311CA"/>
    <w:rsid w:val="00C322B4"/>
    <w:rsid w:val="00C41211"/>
    <w:rsid w:val="00C4138D"/>
    <w:rsid w:val="00C44A91"/>
    <w:rsid w:val="00C50373"/>
    <w:rsid w:val="00C50583"/>
    <w:rsid w:val="00C5411B"/>
    <w:rsid w:val="00C553BD"/>
    <w:rsid w:val="00C56F67"/>
    <w:rsid w:val="00C60121"/>
    <w:rsid w:val="00C62116"/>
    <w:rsid w:val="00C634C7"/>
    <w:rsid w:val="00C64083"/>
    <w:rsid w:val="00C67368"/>
    <w:rsid w:val="00C71D3F"/>
    <w:rsid w:val="00C73A37"/>
    <w:rsid w:val="00C80541"/>
    <w:rsid w:val="00C84B41"/>
    <w:rsid w:val="00C858E1"/>
    <w:rsid w:val="00C871EF"/>
    <w:rsid w:val="00C87986"/>
    <w:rsid w:val="00C9683F"/>
    <w:rsid w:val="00C97D23"/>
    <w:rsid w:val="00CB3E7E"/>
    <w:rsid w:val="00CB4B28"/>
    <w:rsid w:val="00CB7828"/>
    <w:rsid w:val="00CC0448"/>
    <w:rsid w:val="00CD3120"/>
    <w:rsid w:val="00CD34F2"/>
    <w:rsid w:val="00CD35AE"/>
    <w:rsid w:val="00CD5A26"/>
    <w:rsid w:val="00CE07DE"/>
    <w:rsid w:val="00CE7088"/>
    <w:rsid w:val="00CF0750"/>
    <w:rsid w:val="00CF2D7A"/>
    <w:rsid w:val="00CF43EE"/>
    <w:rsid w:val="00CF5F01"/>
    <w:rsid w:val="00D02407"/>
    <w:rsid w:val="00D02FEF"/>
    <w:rsid w:val="00D0516A"/>
    <w:rsid w:val="00D1423E"/>
    <w:rsid w:val="00D14857"/>
    <w:rsid w:val="00D14EE8"/>
    <w:rsid w:val="00D2072A"/>
    <w:rsid w:val="00D20E7C"/>
    <w:rsid w:val="00D23381"/>
    <w:rsid w:val="00D25CFA"/>
    <w:rsid w:val="00D3352A"/>
    <w:rsid w:val="00D342BA"/>
    <w:rsid w:val="00D35CE0"/>
    <w:rsid w:val="00D362FF"/>
    <w:rsid w:val="00D36AA7"/>
    <w:rsid w:val="00D36EA9"/>
    <w:rsid w:val="00D404B9"/>
    <w:rsid w:val="00D41869"/>
    <w:rsid w:val="00D46F95"/>
    <w:rsid w:val="00D521FF"/>
    <w:rsid w:val="00D57BDC"/>
    <w:rsid w:val="00D6120D"/>
    <w:rsid w:val="00D62BF1"/>
    <w:rsid w:val="00D63389"/>
    <w:rsid w:val="00D64103"/>
    <w:rsid w:val="00D66B9D"/>
    <w:rsid w:val="00D6718A"/>
    <w:rsid w:val="00D71A66"/>
    <w:rsid w:val="00D75668"/>
    <w:rsid w:val="00D77AD5"/>
    <w:rsid w:val="00D82A60"/>
    <w:rsid w:val="00D82BFB"/>
    <w:rsid w:val="00D83552"/>
    <w:rsid w:val="00D878CE"/>
    <w:rsid w:val="00D90DCC"/>
    <w:rsid w:val="00D92EC2"/>
    <w:rsid w:val="00D931B8"/>
    <w:rsid w:val="00D95C92"/>
    <w:rsid w:val="00DA0F43"/>
    <w:rsid w:val="00DA3FCF"/>
    <w:rsid w:val="00DA60C9"/>
    <w:rsid w:val="00DA7BE0"/>
    <w:rsid w:val="00DB0CFE"/>
    <w:rsid w:val="00DB1631"/>
    <w:rsid w:val="00DB2B05"/>
    <w:rsid w:val="00DB4250"/>
    <w:rsid w:val="00DD67C4"/>
    <w:rsid w:val="00DD71D5"/>
    <w:rsid w:val="00DD7CD8"/>
    <w:rsid w:val="00DD7FB0"/>
    <w:rsid w:val="00DE273C"/>
    <w:rsid w:val="00DF11EA"/>
    <w:rsid w:val="00DF178A"/>
    <w:rsid w:val="00DF1E3F"/>
    <w:rsid w:val="00DF5897"/>
    <w:rsid w:val="00DF7469"/>
    <w:rsid w:val="00E01C85"/>
    <w:rsid w:val="00E1085B"/>
    <w:rsid w:val="00E13E17"/>
    <w:rsid w:val="00E14291"/>
    <w:rsid w:val="00E163D9"/>
    <w:rsid w:val="00E2746B"/>
    <w:rsid w:val="00E32DBF"/>
    <w:rsid w:val="00E338DE"/>
    <w:rsid w:val="00E36409"/>
    <w:rsid w:val="00E4533E"/>
    <w:rsid w:val="00E51087"/>
    <w:rsid w:val="00E5538B"/>
    <w:rsid w:val="00E60DFE"/>
    <w:rsid w:val="00E63DD9"/>
    <w:rsid w:val="00E71327"/>
    <w:rsid w:val="00E75DF1"/>
    <w:rsid w:val="00E77273"/>
    <w:rsid w:val="00E805E8"/>
    <w:rsid w:val="00E858A6"/>
    <w:rsid w:val="00E86564"/>
    <w:rsid w:val="00E87FC0"/>
    <w:rsid w:val="00E90839"/>
    <w:rsid w:val="00E95227"/>
    <w:rsid w:val="00EA2D8F"/>
    <w:rsid w:val="00EA7F37"/>
    <w:rsid w:val="00EB0081"/>
    <w:rsid w:val="00EB0FE4"/>
    <w:rsid w:val="00EB7604"/>
    <w:rsid w:val="00EB784C"/>
    <w:rsid w:val="00EC1D56"/>
    <w:rsid w:val="00EC230C"/>
    <w:rsid w:val="00EC6BA6"/>
    <w:rsid w:val="00EC7686"/>
    <w:rsid w:val="00ED13D6"/>
    <w:rsid w:val="00ED2FA9"/>
    <w:rsid w:val="00ED442C"/>
    <w:rsid w:val="00EE0402"/>
    <w:rsid w:val="00EE504F"/>
    <w:rsid w:val="00EE6DB4"/>
    <w:rsid w:val="00EF11AB"/>
    <w:rsid w:val="00EF1416"/>
    <w:rsid w:val="00EF3225"/>
    <w:rsid w:val="00EF4C8C"/>
    <w:rsid w:val="00EF4F98"/>
    <w:rsid w:val="00EF7AF3"/>
    <w:rsid w:val="00F010BD"/>
    <w:rsid w:val="00F02773"/>
    <w:rsid w:val="00F027F7"/>
    <w:rsid w:val="00F04F0C"/>
    <w:rsid w:val="00F057E1"/>
    <w:rsid w:val="00F06FA4"/>
    <w:rsid w:val="00F1018B"/>
    <w:rsid w:val="00F113F1"/>
    <w:rsid w:val="00F12A78"/>
    <w:rsid w:val="00F16789"/>
    <w:rsid w:val="00F16D9D"/>
    <w:rsid w:val="00F16F32"/>
    <w:rsid w:val="00F17A0B"/>
    <w:rsid w:val="00F21231"/>
    <w:rsid w:val="00F21931"/>
    <w:rsid w:val="00F21A8E"/>
    <w:rsid w:val="00F23AC8"/>
    <w:rsid w:val="00F248E8"/>
    <w:rsid w:val="00F27D46"/>
    <w:rsid w:val="00F32CD4"/>
    <w:rsid w:val="00F33731"/>
    <w:rsid w:val="00F33E6B"/>
    <w:rsid w:val="00F402FA"/>
    <w:rsid w:val="00F41EFF"/>
    <w:rsid w:val="00F43B7F"/>
    <w:rsid w:val="00F457F0"/>
    <w:rsid w:val="00F54BE0"/>
    <w:rsid w:val="00F571E8"/>
    <w:rsid w:val="00F63975"/>
    <w:rsid w:val="00F6779C"/>
    <w:rsid w:val="00F74CB1"/>
    <w:rsid w:val="00F75B88"/>
    <w:rsid w:val="00F819F6"/>
    <w:rsid w:val="00F8579F"/>
    <w:rsid w:val="00F91F34"/>
    <w:rsid w:val="00F93C9C"/>
    <w:rsid w:val="00F9495D"/>
    <w:rsid w:val="00FA5405"/>
    <w:rsid w:val="00FB4B74"/>
    <w:rsid w:val="00FB6061"/>
    <w:rsid w:val="00FC1CEF"/>
    <w:rsid w:val="00FC65A6"/>
    <w:rsid w:val="00FD4A4A"/>
    <w:rsid w:val="00FE6271"/>
    <w:rsid w:val="00FE799D"/>
    <w:rsid w:val="00FF2820"/>
    <w:rsid w:val="00FF31A0"/>
    <w:rsid w:val="00FF428D"/>
    <w:rsid w:val="00FF65E2"/>
    <w:rsid w:val="1DBE2296"/>
    <w:rsid w:val="2C6E0649"/>
    <w:rsid w:val="2C9A2BB8"/>
    <w:rsid w:val="5053DC95"/>
    <w:rsid w:val="58B49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1692DFC"/>
  <w15:docId w15:val="{BB621F81-CA04-4585-8658-B83CE4BA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uiPriority="49" w:semiHidden="1" w:unhideWhenUsed="1"/>
    <w:lsdException w:name="index 2" w:uiPriority="49" w:semiHidden="1" w:unhideWhenUsed="1"/>
    <w:lsdException w:name="index 3" w:uiPriority="49" w:semiHidden="1" w:unhideWhenUsed="1"/>
    <w:lsdException w:name="index 4" w:uiPriority="49" w:semiHidden="1" w:unhideWhenUsed="1"/>
    <w:lsdException w:name="index 5" w:uiPriority="49" w:semiHidden="1" w:unhideWhenUsed="1"/>
    <w:lsdException w:name="index 6" w:uiPriority="49" w:semiHidden="1" w:unhideWhenUsed="1"/>
    <w:lsdException w:name="index 7" w:uiPriority="49" w:semiHidden="1" w:unhideWhenUsed="1"/>
    <w:lsdException w:name="index 8" w:uiPriority="49" w:semiHidden="1" w:unhideWhenUsed="1"/>
    <w:lsdException w:name="index 9" w:uiPriority="49" w:semiHidden="1" w:unhideWhenUsed="1"/>
    <w:lsdException w:name="toc 1" w:uiPriority="39" w:semiHidden="1" w:unhideWhenUsed="1"/>
    <w:lsdException w:name="toc 2" w:uiPriority="12" w:semiHidden="1" w:unhideWhenUsed="1"/>
    <w:lsdException w:name="toc 3" w:uiPriority="12" w:semiHidden="1" w:unhideWhenUsed="1"/>
    <w:lsdException w:name="toc 4" w:uiPriority="12" w:semiHidden="1" w:unhideWhenUsed="1"/>
    <w:lsdException w:name="toc 5" w:uiPriority="12"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13" w:semiHidden="1" w:unhideWhenUsed="1" w:qFormat="1"/>
    <w:lsdException w:name="annotation text" w:uiPriority="99" w:semiHidden="1" w:unhideWhenUsed="1"/>
    <w:lsdException w:name="header" w:uiPriority="49" w:semiHidden="1" w:unhideWhenUsed="1"/>
    <w:lsdException w:name="footer" w:uiPriority="49" w:semiHidden="1" w:unhideWhenUsed="1"/>
    <w:lsdException w:name="index heading" w:uiPriority="49"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qFormat="1"/>
    <w:lsdException w:name="annotation reference" w:uiPriority="99" w:semiHidden="1" w:unhideWhenUsed="1"/>
    <w:lsdException w:name="line number" w:semiHidden="1" w:unhideWhenUsed="1"/>
    <w:lsdException w:name="page number" w:uiPriority="49"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7475C0"/>
    <w:pPr>
      <w:jc w:val="both"/>
    </w:pPr>
    <w:rPr>
      <w:rFonts w:ascii="Arial" w:hAnsi="Arial" w:eastAsiaTheme="minorHAnsi" w:cstheme="minorBidi"/>
      <w:sz w:val="22"/>
      <w:szCs w:val="22"/>
      <w:lang w:eastAsia="en-US"/>
    </w:rPr>
  </w:style>
  <w:style w:type="paragraph" w:styleId="Heading1">
    <w:name w:val="heading 1"/>
    <w:basedOn w:val="Normal"/>
    <w:next w:val="Normal"/>
    <w:link w:val="Heading1Char"/>
    <w:uiPriority w:val="1"/>
    <w:qFormat/>
    <w:rsid w:val="007475C0"/>
    <w:pPr>
      <w:keepNext/>
      <w:keepLines/>
      <w:numPr>
        <w:ilvl w:val="1"/>
        <w:numId w:val="76"/>
      </w:numPr>
      <w:spacing w:after="260"/>
      <w:jc w:val="center"/>
      <w:outlineLvl w:val="0"/>
    </w:pPr>
    <w:rPr>
      <w:rFonts w:eastAsia="MingLiU" w:cs="Times New Roman"/>
      <w:b/>
      <w:bCs/>
      <w:kern w:val="32"/>
      <w:szCs w:val="28"/>
      <w:lang w:eastAsia="en-GB"/>
    </w:rPr>
  </w:style>
  <w:style w:type="paragraph" w:styleId="Heading2">
    <w:name w:val="heading 2"/>
    <w:basedOn w:val="Normal"/>
    <w:next w:val="Normal"/>
    <w:link w:val="Heading2Char"/>
    <w:uiPriority w:val="1"/>
    <w:qFormat/>
    <w:rsid w:val="007475C0"/>
    <w:pPr>
      <w:keepNext/>
      <w:keepLines/>
      <w:numPr>
        <w:ilvl w:val="2"/>
        <w:numId w:val="76"/>
      </w:numPr>
      <w:spacing w:after="260"/>
      <w:outlineLvl w:val="1"/>
    </w:pPr>
    <w:rPr>
      <w:rFonts w:eastAsia="MingLiU" w:cs="Times New Roman"/>
      <w:b/>
      <w:bCs/>
      <w:szCs w:val="26"/>
      <w:lang w:eastAsia="en-GB"/>
    </w:rPr>
  </w:style>
  <w:style w:type="paragraph" w:styleId="Heading3">
    <w:name w:val="heading 3"/>
    <w:basedOn w:val="Normal"/>
    <w:next w:val="Normal"/>
    <w:link w:val="Heading3Char"/>
    <w:uiPriority w:val="1"/>
    <w:qFormat/>
    <w:rsid w:val="007475C0"/>
    <w:pPr>
      <w:keepNext/>
      <w:keepLines/>
      <w:numPr>
        <w:ilvl w:val="3"/>
        <w:numId w:val="76"/>
      </w:numPr>
      <w:spacing w:after="260"/>
      <w:outlineLvl w:val="2"/>
    </w:pPr>
    <w:rPr>
      <w:rFonts w:eastAsia="MingLiU" w:cs="Times New Roman"/>
      <w:b/>
      <w:bCs/>
      <w:lang w:eastAsia="en-GB"/>
    </w:rPr>
  </w:style>
  <w:style w:type="paragraph" w:styleId="Heading4">
    <w:name w:val="heading 4"/>
    <w:basedOn w:val="Normal"/>
    <w:next w:val="Normal"/>
    <w:link w:val="Heading4Char"/>
    <w:uiPriority w:val="1"/>
    <w:qFormat/>
    <w:rsid w:val="007475C0"/>
    <w:pPr>
      <w:keepNext/>
      <w:keepLines/>
      <w:numPr>
        <w:ilvl w:val="4"/>
        <w:numId w:val="76"/>
      </w:numPr>
      <w:spacing w:after="260"/>
      <w:outlineLvl w:val="3"/>
    </w:pPr>
    <w:rPr>
      <w:rFonts w:eastAsia="MingLiU" w:cs="Times New Roman"/>
      <w:b/>
      <w:bCs/>
      <w:iCs/>
      <w:lang w:eastAsia="en-GB"/>
    </w:rPr>
  </w:style>
  <w:style w:type="paragraph" w:styleId="Heading5">
    <w:name w:val="heading 5"/>
    <w:basedOn w:val="Normal"/>
    <w:next w:val="Normal"/>
    <w:link w:val="Heading5Char"/>
    <w:uiPriority w:val="1"/>
    <w:qFormat/>
    <w:rsid w:val="007475C0"/>
    <w:pPr>
      <w:keepNext/>
      <w:keepLines/>
      <w:numPr>
        <w:ilvl w:val="5"/>
        <w:numId w:val="76"/>
      </w:numPr>
      <w:spacing w:after="260"/>
      <w:outlineLvl w:val="4"/>
    </w:pPr>
    <w:rPr>
      <w:rFonts w:eastAsia="MingLiU" w:cs="Times New Roman"/>
      <w:b/>
      <w:lang w:eastAsia="en-GB"/>
    </w:rPr>
  </w:style>
  <w:style w:type="paragraph" w:styleId="Heading6">
    <w:name w:val="heading 6"/>
    <w:basedOn w:val="Normal"/>
    <w:next w:val="Normal"/>
    <w:link w:val="Heading6Char"/>
    <w:uiPriority w:val="1"/>
    <w:qFormat/>
    <w:rsid w:val="007475C0"/>
    <w:pPr>
      <w:keepNext/>
      <w:keepLines/>
      <w:numPr>
        <w:ilvl w:val="6"/>
        <w:numId w:val="76"/>
      </w:numPr>
      <w:spacing w:after="260"/>
      <w:outlineLvl w:val="5"/>
    </w:pPr>
    <w:rPr>
      <w:rFonts w:eastAsia="MingLiU" w:cs="Times New Roman"/>
      <w:b/>
      <w:iCs/>
      <w:lang w:eastAsia="en-GB"/>
    </w:rPr>
  </w:style>
  <w:style w:type="paragraph" w:styleId="Heading7">
    <w:name w:val="heading 7"/>
    <w:basedOn w:val="Normal"/>
    <w:next w:val="Normal"/>
    <w:link w:val="Heading7Char"/>
    <w:uiPriority w:val="1"/>
    <w:qFormat/>
    <w:rsid w:val="007475C0"/>
    <w:pPr>
      <w:numPr>
        <w:ilvl w:val="7"/>
        <w:numId w:val="25"/>
      </w:numPr>
      <w:outlineLvl w:val="6"/>
    </w:pPr>
    <w:rPr>
      <w:rFonts w:eastAsia="MingLiU" w:cs="Times New Roman" w:asciiTheme="minorHAnsi" w:hAnsiTheme="minorHAnsi"/>
      <w:szCs w:val="24"/>
      <w:lang w:eastAsia="en-GB"/>
    </w:rPr>
  </w:style>
  <w:style w:type="paragraph" w:styleId="Heading8">
    <w:name w:val="heading 8"/>
    <w:basedOn w:val="Normal"/>
    <w:next w:val="Normal"/>
    <w:link w:val="Heading8Char"/>
    <w:uiPriority w:val="1"/>
    <w:qFormat/>
    <w:rsid w:val="007475C0"/>
    <w:pPr>
      <w:numPr>
        <w:ilvl w:val="8"/>
        <w:numId w:val="25"/>
      </w:numPr>
      <w:outlineLvl w:val="7"/>
    </w:pPr>
    <w:rPr>
      <w:rFonts w:eastAsia="MingLiU" w:cs="Times New Roman" w:asciiTheme="minorHAnsi" w:hAnsiTheme="minorHAnsi"/>
      <w:iCs/>
      <w:szCs w:val="24"/>
      <w:lang w:eastAsia="en-GB"/>
    </w:rPr>
  </w:style>
  <w:style w:type="paragraph" w:styleId="Heading9">
    <w:name w:val="heading 9"/>
    <w:basedOn w:val="Normal"/>
    <w:next w:val="Normal"/>
    <w:link w:val="Heading9Char"/>
    <w:uiPriority w:val="1"/>
    <w:qFormat/>
    <w:rsid w:val="007475C0"/>
    <w:pPr>
      <w:outlineLvl w:val="8"/>
    </w:pPr>
    <w:rPr>
      <w:rFonts w:eastAsia="MingLiU" w:cs="Arial" w:asciiTheme="minorHAnsi" w:hAnsiTheme="minorHAnsi"/>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AltAnnex" w:customStyle="1">
    <w:name w:val="AltAnnex"/>
    <w:uiPriority w:val="99"/>
    <w:rsid w:val="007475C0"/>
    <w:pPr>
      <w:numPr>
        <w:numId w:val="6"/>
      </w:numPr>
    </w:pPr>
  </w:style>
  <w:style w:type="numbering" w:styleId="AltAppendix" w:customStyle="1">
    <w:name w:val="AltAppendix"/>
    <w:uiPriority w:val="99"/>
    <w:rsid w:val="007475C0"/>
    <w:pPr>
      <w:numPr>
        <w:numId w:val="7"/>
      </w:numPr>
    </w:pPr>
  </w:style>
  <w:style w:type="paragraph" w:styleId="AltDefinitions" w:customStyle="1">
    <w:name w:val="AltDefinitions"/>
    <w:basedOn w:val="Normal"/>
    <w:uiPriority w:val="15"/>
    <w:rsid w:val="007475C0"/>
    <w:pPr>
      <w:numPr>
        <w:numId w:val="8"/>
      </w:numPr>
      <w:spacing w:after="260"/>
    </w:pPr>
  </w:style>
  <w:style w:type="paragraph" w:styleId="AltDefinitions1" w:customStyle="1">
    <w:name w:val="AltDefinitions 1"/>
    <w:basedOn w:val="Normal"/>
    <w:uiPriority w:val="15"/>
    <w:rsid w:val="007475C0"/>
    <w:pPr>
      <w:numPr>
        <w:ilvl w:val="1"/>
        <w:numId w:val="8"/>
      </w:numPr>
      <w:spacing w:after="260"/>
    </w:pPr>
  </w:style>
  <w:style w:type="paragraph" w:styleId="AltDefinitions2" w:customStyle="1">
    <w:name w:val="AltDefinitions 2"/>
    <w:basedOn w:val="Normal"/>
    <w:uiPriority w:val="15"/>
    <w:rsid w:val="007475C0"/>
    <w:pPr>
      <w:numPr>
        <w:ilvl w:val="2"/>
        <w:numId w:val="8"/>
      </w:numPr>
      <w:spacing w:after="260"/>
    </w:pPr>
  </w:style>
  <w:style w:type="paragraph" w:styleId="AltDefinitions3" w:customStyle="1">
    <w:name w:val="AltDefinitions 3"/>
    <w:basedOn w:val="Normal"/>
    <w:uiPriority w:val="15"/>
    <w:rsid w:val="007475C0"/>
    <w:pPr>
      <w:numPr>
        <w:ilvl w:val="3"/>
        <w:numId w:val="8"/>
      </w:numPr>
      <w:spacing w:after="260"/>
    </w:pPr>
  </w:style>
  <w:style w:type="paragraph" w:styleId="AltDefinitions4" w:customStyle="1">
    <w:name w:val="AltDefinitions 4"/>
    <w:basedOn w:val="Normal"/>
    <w:uiPriority w:val="15"/>
    <w:rsid w:val="007475C0"/>
    <w:pPr>
      <w:numPr>
        <w:ilvl w:val="4"/>
        <w:numId w:val="8"/>
      </w:numPr>
      <w:spacing w:after="260"/>
    </w:pPr>
  </w:style>
  <w:style w:type="numbering" w:styleId="AltExhibit" w:customStyle="1">
    <w:name w:val="AltExhibit"/>
    <w:uiPriority w:val="99"/>
    <w:rsid w:val="007475C0"/>
    <w:pPr>
      <w:numPr>
        <w:numId w:val="9"/>
      </w:numPr>
    </w:pPr>
  </w:style>
  <w:style w:type="paragraph" w:styleId="AltHeading1" w:customStyle="1">
    <w:name w:val="AltHeading 1"/>
    <w:basedOn w:val="Normal"/>
    <w:next w:val="Normal"/>
    <w:link w:val="AltHeading1Char"/>
    <w:uiPriority w:val="19"/>
    <w:unhideWhenUsed/>
    <w:qFormat/>
    <w:rsid w:val="007475C0"/>
    <w:pPr>
      <w:numPr>
        <w:ilvl w:val="1"/>
        <w:numId w:val="18"/>
      </w:numPr>
      <w:spacing w:after="260"/>
      <w:outlineLvl w:val="0"/>
    </w:pPr>
    <w:rPr>
      <w:b/>
      <w:szCs w:val="20"/>
      <w:u w:val="single"/>
    </w:rPr>
  </w:style>
  <w:style w:type="character" w:styleId="AltHeading1Char" w:customStyle="1">
    <w:name w:val="AltHeading 1 Char"/>
    <w:basedOn w:val="DefaultParagraphFont"/>
    <w:link w:val="AltHeading1"/>
    <w:uiPriority w:val="19"/>
    <w:rsid w:val="007475C0"/>
    <w:rPr>
      <w:rFonts w:ascii="Arial" w:hAnsi="Arial" w:eastAsiaTheme="minorHAnsi" w:cstheme="minorBidi"/>
      <w:b/>
      <w:sz w:val="22"/>
      <w:u w:val="single"/>
      <w:lang w:eastAsia="en-US"/>
    </w:rPr>
  </w:style>
  <w:style w:type="paragraph" w:styleId="AltHeading2" w:customStyle="1">
    <w:name w:val="AltHeading 2"/>
    <w:basedOn w:val="Normal"/>
    <w:next w:val="Normal"/>
    <w:link w:val="AltHeading2Char"/>
    <w:uiPriority w:val="19"/>
    <w:unhideWhenUsed/>
    <w:qFormat/>
    <w:rsid w:val="007475C0"/>
    <w:pPr>
      <w:numPr>
        <w:ilvl w:val="2"/>
        <w:numId w:val="18"/>
      </w:numPr>
      <w:tabs>
        <w:tab w:val="clear" w:pos="709"/>
        <w:tab w:val="num" w:pos="360"/>
      </w:tabs>
      <w:spacing w:after="260"/>
      <w:ind w:left="0" w:firstLine="0"/>
      <w:outlineLvl w:val="1"/>
    </w:pPr>
    <w:rPr>
      <w:b/>
      <w:szCs w:val="20"/>
    </w:rPr>
  </w:style>
  <w:style w:type="character" w:styleId="AltHeading2Char" w:customStyle="1">
    <w:name w:val="AltHeading 2 Char"/>
    <w:basedOn w:val="DefaultParagraphFont"/>
    <w:link w:val="AltHeading2"/>
    <w:uiPriority w:val="19"/>
    <w:rsid w:val="007475C0"/>
    <w:rPr>
      <w:rFonts w:ascii="Arial" w:hAnsi="Arial" w:eastAsiaTheme="minorHAnsi" w:cstheme="minorBidi"/>
      <w:b/>
      <w:sz w:val="22"/>
      <w:lang w:eastAsia="en-US"/>
    </w:rPr>
  </w:style>
  <w:style w:type="paragraph" w:styleId="AltHeading3" w:customStyle="1">
    <w:name w:val="AltHeading 3"/>
    <w:basedOn w:val="Normal"/>
    <w:next w:val="Normal"/>
    <w:link w:val="AltHeading3Char"/>
    <w:uiPriority w:val="19"/>
    <w:unhideWhenUsed/>
    <w:qFormat/>
    <w:rsid w:val="007475C0"/>
    <w:pPr>
      <w:numPr>
        <w:ilvl w:val="3"/>
        <w:numId w:val="18"/>
      </w:numPr>
      <w:spacing w:after="260"/>
      <w:outlineLvl w:val="2"/>
    </w:pPr>
    <w:rPr>
      <w:b/>
      <w:szCs w:val="20"/>
    </w:rPr>
  </w:style>
  <w:style w:type="character" w:styleId="AltHeading3Char" w:customStyle="1">
    <w:name w:val="AltHeading 3 Char"/>
    <w:basedOn w:val="DefaultParagraphFont"/>
    <w:link w:val="AltHeading3"/>
    <w:uiPriority w:val="19"/>
    <w:rsid w:val="007475C0"/>
    <w:rPr>
      <w:rFonts w:ascii="Arial" w:hAnsi="Arial" w:eastAsiaTheme="minorHAnsi" w:cstheme="minorBidi"/>
      <w:b/>
      <w:sz w:val="22"/>
      <w:lang w:eastAsia="en-US"/>
    </w:rPr>
  </w:style>
  <w:style w:type="paragraph" w:styleId="AltHeading4" w:customStyle="1">
    <w:name w:val="AltHeading 4"/>
    <w:basedOn w:val="Normal"/>
    <w:next w:val="Normal"/>
    <w:link w:val="AltHeading4Char"/>
    <w:uiPriority w:val="19"/>
    <w:unhideWhenUsed/>
    <w:qFormat/>
    <w:rsid w:val="007475C0"/>
    <w:pPr>
      <w:numPr>
        <w:ilvl w:val="4"/>
        <w:numId w:val="18"/>
      </w:numPr>
      <w:tabs>
        <w:tab w:val="clear" w:pos="1985"/>
        <w:tab w:val="num" w:pos="360"/>
      </w:tabs>
      <w:spacing w:after="260"/>
      <w:ind w:left="0" w:firstLine="0"/>
      <w:outlineLvl w:val="3"/>
    </w:pPr>
    <w:rPr>
      <w:b/>
      <w:szCs w:val="20"/>
    </w:rPr>
  </w:style>
  <w:style w:type="character" w:styleId="AltHeading4Char" w:customStyle="1">
    <w:name w:val="AltHeading 4 Char"/>
    <w:basedOn w:val="DefaultParagraphFont"/>
    <w:link w:val="AltHeading4"/>
    <w:uiPriority w:val="19"/>
    <w:rsid w:val="007475C0"/>
    <w:rPr>
      <w:rFonts w:ascii="Arial" w:hAnsi="Arial" w:eastAsiaTheme="minorHAnsi" w:cstheme="minorBidi"/>
      <w:b/>
      <w:sz w:val="22"/>
      <w:lang w:eastAsia="en-US"/>
    </w:rPr>
  </w:style>
  <w:style w:type="paragraph" w:styleId="AltHeading5" w:customStyle="1">
    <w:name w:val="AltHeading 5"/>
    <w:basedOn w:val="Normal"/>
    <w:next w:val="Normal"/>
    <w:link w:val="AltHeading5Char"/>
    <w:uiPriority w:val="19"/>
    <w:unhideWhenUsed/>
    <w:qFormat/>
    <w:rsid w:val="007475C0"/>
    <w:pPr>
      <w:spacing w:after="260"/>
      <w:outlineLvl w:val="4"/>
    </w:pPr>
    <w:rPr>
      <w:b/>
      <w:szCs w:val="20"/>
    </w:rPr>
  </w:style>
  <w:style w:type="character" w:styleId="AltHeading5Char" w:customStyle="1">
    <w:name w:val="AltHeading 5 Char"/>
    <w:basedOn w:val="DefaultParagraphFont"/>
    <w:link w:val="AltHeading5"/>
    <w:uiPriority w:val="19"/>
    <w:rsid w:val="007475C0"/>
    <w:rPr>
      <w:rFonts w:ascii="Arial" w:hAnsi="Arial" w:eastAsiaTheme="minorHAnsi" w:cstheme="minorBidi"/>
      <w:b/>
      <w:sz w:val="22"/>
      <w:lang w:eastAsia="en-US"/>
    </w:rPr>
  </w:style>
  <w:style w:type="paragraph" w:styleId="AltHeading6" w:customStyle="1">
    <w:name w:val="AltHeading 6"/>
    <w:basedOn w:val="Normal"/>
    <w:next w:val="Normal"/>
    <w:link w:val="AltHeading6Char"/>
    <w:uiPriority w:val="19"/>
    <w:unhideWhenUsed/>
    <w:qFormat/>
    <w:rsid w:val="007475C0"/>
    <w:pPr>
      <w:numPr>
        <w:ilvl w:val="6"/>
        <w:numId w:val="18"/>
      </w:numPr>
      <w:spacing w:after="260"/>
      <w:outlineLvl w:val="5"/>
    </w:pPr>
    <w:rPr>
      <w:b/>
      <w:szCs w:val="20"/>
    </w:rPr>
  </w:style>
  <w:style w:type="character" w:styleId="AltHeading6Char" w:customStyle="1">
    <w:name w:val="AltHeading 6 Char"/>
    <w:basedOn w:val="DefaultParagraphFont"/>
    <w:link w:val="AltHeading6"/>
    <w:uiPriority w:val="19"/>
    <w:rsid w:val="007475C0"/>
    <w:rPr>
      <w:rFonts w:ascii="Arial" w:hAnsi="Arial" w:eastAsiaTheme="minorHAnsi" w:cstheme="minorBidi"/>
      <w:b/>
      <w:sz w:val="22"/>
      <w:lang w:eastAsia="en-US"/>
    </w:rPr>
  </w:style>
  <w:style w:type="numbering" w:styleId="AltNumRecitals" w:customStyle="1">
    <w:name w:val="AltNumRecitals"/>
    <w:uiPriority w:val="99"/>
    <w:rsid w:val="007475C0"/>
    <w:pPr>
      <w:numPr>
        <w:numId w:val="10"/>
      </w:numPr>
    </w:pPr>
  </w:style>
  <w:style w:type="paragraph" w:styleId="AltParties" w:customStyle="1">
    <w:name w:val="AltParties"/>
    <w:basedOn w:val="Normal"/>
    <w:uiPriority w:val="16"/>
    <w:rsid w:val="007475C0"/>
    <w:pPr>
      <w:numPr>
        <w:numId w:val="27"/>
      </w:numPr>
      <w:spacing w:after="260"/>
    </w:pPr>
  </w:style>
  <w:style w:type="paragraph" w:styleId="AltRecitals" w:customStyle="1">
    <w:name w:val="AltRecitals"/>
    <w:basedOn w:val="Normal"/>
    <w:uiPriority w:val="16"/>
    <w:rsid w:val="007475C0"/>
    <w:pPr>
      <w:numPr>
        <w:numId w:val="11"/>
      </w:numPr>
      <w:spacing w:after="260"/>
    </w:pPr>
  </w:style>
  <w:style w:type="paragraph" w:styleId="AltRestartAnnex" w:customStyle="1">
    <w:name w:val="AltRestartAnnex"/>
    <w:basedOn w:val="Normal"/>
    <w:next w:val="Normal"/>
    <w:uiPriority w:val="17"/>
    <w:unhideWhenUsed/>
    <w:rsid w:val="007475C0"/>
    <w:pPr>
      <w:numPr>
        <w:numId w:val="14"/>
      </w:numPr>
      <w:spacing w:after="260"/>
    </w:pPr>
    <w:rPr>
      <w:color w:val="FF0000"/>
    </w:rPr>
  </w:style>
  <w:style w:type="numbering" w:styleId="AltSchedule" w:customStyle="1">
    <w:name w:val="AltSchedule"/>
    <w:uiPriority w:val="99"/>
    <w:rsid w:val="007475C0"/>
    <w:pPr>
      <w:numPr>
        <w:numId w:val="12"/>
      </w:numPr>
    </w:pPr>
  </w:style>
  <w:style w:type="numbering" w:styleId="AltSection" w:customStyle="1">
    <w:name w:val="AltSection"/>
    <w:uiPriority w:val="99"/>
    <w:rsid w:val="007475C0"/>
    <w:pPr>
      <w:numPr>
        <w:numId w:val="13"/>
      </w:numPr>
    </w:pPr>
  </w:style>
  <w:style w:type="paragraph" w:styleId="AltssNoHeading1" w:customStyle="1">
    <w:name w:val="AltssNoHeading1"/>
    <w:basedOn w:val="AltHeading1"/>
    <w:uiPriority w:val="19"/>
    <w:unhideWhenUsed/>
    <w:qFormat/>
    <w:rsid w:val="007475C0"/>
    <w:rPr>
      <w:b w:val="0"/>
      <w:u w:val="none"/>
    </w:rPr>
  </w:style>
  <w:style w:type="paragraph" w:styleId="AltssNoHeading2" w:customStyle="1">
    <w:name w:val="AltssNoHeading2"/>
    <w:basedOn w:val="AltHeading2"/>
    <w:uiPriority w:val="19"/>
    <w:unhideWhenUsed/>
    <w:qFormat/>
    <w:rsid w:val="007475C0"/>
    <w:rPr>
      <w:b w:val="0"/>
    </w:rPr>
  </w:style>
  <w:style w:type="paragraph" w:styleId="AltssNoHeading3" w:customStyle="1">
    <w:name w:val="AltssNoHeading3"/>
    <w:basedOn w:val="AltHeading3"/>
    <w:uiPriority w:val="19"/>
    <w:unhideWhenUsed/>
    <w:qFormat/>
    <w:rsid w:val="007475C0"/>
    <w:rPr>
      <w:b w:val="0"/>
    </w:rPr>
  </w:style>
  <w:style w:type="paragraph" w:styleId="AltssNoHeading4" w:customStyle="1">
    <w:name w:val="AltssNoHeading4"/>
    <w:basedOn w:val="AltHeading4"/>
    <w:uiPriority w:val="19"/>
    <w:unhideWhenUsed/>
    <w:qFormat/>
    <w:rsid w:val="007475C0"/>
    <w:rPr>
      <w:b w:val="0"/>
    </w:rPr>
  </w:style>
  <w:style w:type="paragraph" w:styleId="AltssNoHeading5" w:customStyle="1">
    <w:name w:val="AltssNoHeading5"/>
    <w:basedOn w:val="AltHeading5"/>
    <w:uiPriority w:val="19"/>
    <w:unhideWhenUsed/>
    <w:qFormat/>
    <w:rsid w:val="007475C0"/>
    <w:rPr>
      <w:b w:val="0"/>
    </w:rPr>
  </w:style>
  <w:style w:type="paragraph" w:styleId="AltssNoHeading6" w:customStyle="1">
    <w:name w:val="AltssNoHeading6"/>
    <w:basedOn w:val="AltHeading6"/>
    <w:next w:val="Normal"/>
    <w:uiPriority w:val="19"/>
    <w:unhideWhenUsed/>
    <w:rsid w:val="007475C0"/>
    <w:rPr>
      <w:b w:val="0"/>
    </w:rPr>
  </w:style>
  <w:style w:type="paragraph" w:styleId="AltSSQAnnex" w:customStyle="1">
    <w:name w:val="AltSSQAnnex"/>
    <w:basedOn w:val="Normal"/>
    <w:next w:val="Normal"/>
    <w:uiPriority w:val="17"/>
    <w:unhideWhenUsed/>
    <w:rsid w:val="007475C0"/>
    <w:pPr>
      <w:pageBreakBefore/>
      <w:numPr>
        <w:ilvl w:val="1"/>
        <w:numId w:val="14"/>
      </w:numPr>
      <w:spacing w:after="260"/>
      <w:jc w:val="center"/>
    </w:pPr>
    <w:rPr>
      <w:b/>
      <w:caps/>
    </w:rPr>
  </w:style>
  <w:style w:type="paragraph" w:styleId="AltssqAppendix" w:customStyle="1">
    <w:name w:val="AltssqAppendix"/>
    <w:basedOn w:val="Normal"/>
    <w:next w:val="Normal"/>
    <w:uiPriority w:val="14"/>
    <w:unhideWhenUsed/>
    <w:rsid w:val="007475C0"/>
    <w:pPr>
      <w:pageBreakBefore/>
      <w:numPr>
        <w:ilvl w:val="1"/>
        <w:numId w:val="16"/>
      </w:numPr>
      <w:spacing w:after="260"/>
      <w:jc w:val="center"/>
    </w:pPr>
    <w:rPr>
      <w:b/>
      <w:caps/>
    </w:rPr>
  </w:style>
  <w:style w:type="paragraph" w:styleId="AltssqExhibit" w:customStyle="1">
    <w:name w:val="AltssqExhibit"/>
    <w:basedOn w:val="Normal"/>
    <w:next w:val="Normal"/>
    <w:uiPriority w:val="15"/>
    <w:unhideWhenUsed/>
    <w:rsid w:val="007475C0"/>
    <w:pPr>
      <w:pageBreakBefore/>
      <w:numPr>
        <w:ilvl w:val="1"/>
        <w:numId w:val="17"/>
      </w:numPr>
      <w:spacing w:after="260"/>
      <w:jc w:val="center"/>
    </w:pPr>
    <w:rPr>
      <w:rFonts w:ascii="Arial Bold" w:hAnsi="Arial Bold"/>
      <w:b/>
      <w:caps/>
    </w:rPr>
  </w:style>
  <w:style w:type="paragraph" w:styleId="AltssqPart0" w:customStyle="1">
    <w:name w:val="AltssqPart"/>
    <w:basedOn w:val="Normal"/>
    <w:next w:val="Normal"/>
    <w:uiPriority w:val="16"/>
    <w:unhideWhenUsed/>
    <w:rsid w:val="007475C0"/>
    <w:pPr>
      <w:pageBreakBefore/>
      <w:numPr>
        <w:ilvl w:val="1"/>
        <w:numId w:val="19"/>
      </w:numPr>
      <w:spacing w:after="260"/>
      <w:jc w:val="center"/>
    </w:pPr>
    <w:rPr>
      <w:rFonts w:ascii="Arial Bold" w:hAnsi="Arial Bold"/>
      <w:b/>
      <w:caps/>
    </w:rPr>
  </w:style>
  <w:style w:type="numbering" w:styleId="AltSSQPart" w:customStyle="1">
    <w:name w:val="AltSSQPart"/>
    <w:uiPriority w:val="99"/>
    <w:rsid w:val="007475C0"/>
    <w:pPr>
      <w:numPr>
        <w:numId w:val="15"/>
      </w:numPr>
    </w:pPr>
  </w:style>
  <w:style w:type="paragraph" w:styleId="AltSSQSchedule" w:customStyle="1">
    <w:name w:val="AltSSQSchedule"/>
    <w:basedOn w:val="Normal"/>
    <w:next w:val="Normal"/>
    <w:uiPriority w:val="13"/>
    <w:unhideWhenUsed/>
    <w:rsid w:val="007475C0"/>
    <w:pPr>
      <w:pageBreakBefore/>
      <w:numPr>
        <w:ilvl w:val="1"/>
        <w:numId w:val="20"/>
      </w:numPr>
      <w:spacing w:after="260"/>
      <w:jc w:val="center"/>
    </w:pPr>
    <w:rPr>
      <w:rFonts w:ascii="Arial Bold" w:hAnsi="Arial Bold"/>
      <w:b/>
      <w:caps/>
    </w:rPr>
  </w:style>
  <w:style w:type="paragraph" w:styleId="AltssqSection" w:customStyle="1">
    <w:name w:val="AltssqSection"/>
    <w:basedOn w:val="Normal"/>
    <w:next w:val="Normal"/>
    <w:uiPriority w:val="18"/>
    <w:unhideWhenUsed/>
    <w:rsid w:val="007475C0"/>
    <w:pPr>
      <w:pageBreakBefore/>
      <w:numPr>
        <w:ilvl w:val="1"/>
        <w:numId w:val="21"/>
      </w:numPr>
      <w:spacing w:after="260"/>
      <w:jc w:val="center"/>
    </w:pPr>
    <w:rPr>
      <w:rFonts w:ascii="Arial Bold" w:hAnsi="Arial Bold"/>
      <w:b/>
      <w:caps/>
    </w:rPr>
  </w:style>
  <w:style w:type="paragraph" w:styleId="AltssRestartAppendix" w:customStyle="1">
    <w:name w:val="AltssRestartAppendix"/>
    <w:basedOn w:val="Normal"/>
    <w:next w:val="Normal"/>
    <w:uiPriority w:val="14"/>
    <w:unhideWhenUsed/>
    <w:rsid w:val="007475C0"/>
    <w:pPr>
      <w:numPr>
        <w:numId w:val="16"/>
      </w:numPr>
    </w:pPr>
    <w:rPr>
      <w:color w:val="FF0000"/>
    </w:rPr>
  </w:style>
  <w:style w:type="paragraph" w:styleId="AltssRestartExhibit" w:customStyle="1">
    <w:name w:val="AltssRestartExhibit"/>
    <w:basedOn w:val="Normal"/>
    <w:next w:val="Normal"/>
    <w:uiPriority w:val="15"/>
    <w:unhideWhenUsed/>
    <w:rsid w:val="007475C0"/>
    <w:pPr>
      <w:numPr>
        <w:numId w:val="17"/>
      </w:numPr>
    </w:pPr>
    <w:rPr>
      <w:color w:val="FF0000"/>
    </w:rPr>
  </w:style>
  <w:style w:type="paragraph" w:styleId="ssPara" w:customStyle="1">
    <w:name w:val="ssPara"/>
    <w:basedOn w:val="Normal"/>
    <w:uiPriority w:val="3"/>
    <w:qFormat/>
    <w:rsid w:val="007475C0"/>
    <w:pPr>
      <w:numPr>
        <w:numId w:val="83"/>
      </w:numPr>
      <w:spacing w:after="260"/>
    </w:pPr>
  </w:style>
  <w:style w:type="character" w:styleId="CommentReference">
    <w:name w:val="annotation reference"/>
    <w:hidden/>
    <w:uiPriority w:val="99"/>
    <w:rPr>
      <w:spacing w:val="0"/>
      <w:sz w:val="16"/>
      <w:szCs w:val="16"/>
    </w:rPr>
  </w:style>
  <w:style w:type="paragraph" w:styleId="AltSSRestartNumber" w:customStyle="1">
    <w:name w:val="AltSSRestartNumber"/>
    <w:basedOn w:val="ssPara"/>
    <w:next w:val="ssPara"/>
    <w:uiPriority w:val="20"/>
    <w:unhideWhenUsed/>
    <w:qFormat/>
    <w:rsid w:val="007475C0"/>
    <w:pPr>
      <w:numPr>
        <w:numId w:val="18"/>
      </w:numPr>
    </w:pPr>
    <w:rPr>
      <w:color w:val="FF0000"/>
      <w:szCs w:val="20"/>
    </w:rPr>
  </w:style>
  <w:style w:type="paragraph" w:styleId="AltssRestartPart" w:customStyle="1">
    <w:name w:val="AltssRestartPart"/>
    <w:basedOn w:val="Normal"/>
    <w:next w:val="Normal"/>
    <w:uiPriority w:val="16"/>
    <w:unhideWhenUsed/>
    <w:rsid w:val="007475C0"/>
    <w:pPr>
      <w:numPr>
        <w:numId w:val="19"/>
      </w:numPr>
      <w:spacing w:after="260"/>
    </w:pPr>
    <w:rPr>
      <w:color w:val="FF0000"/>
    </w:rPr>
  </w:style>
  <w:style w:type="paragraph" w:styleId="AltssRestartSchedule" w:customStyle="1">
    <w:name w:val="AltssRestartSchedule"/>
    <w:basedOn w:val="Normal"/>
    <w:next w:val="Normal"/>
    <w:uiPriority w:val="13"/>
    <w:unhideWhenUsed/>
    <w:rsid w:val="007475C0"/>
    <w:pPr>
      <w:numPr>
        <w:numId w:val="20"/>
      </w:numPr>
    </w:pPr>
    <w:rPr>
      <w:color w:val="FF0000"/>
    </w:rPr>
  </w:style>
  <w:style w:type="paragraph" w:styleId="AltssRestartSection" w:customStyle="1">
    <w:name w:val="AltssRestartSection"/>
    <w:basedOn w:val="Normal"/>
    <w:next w:val="Normal"/>
    <w:uiPriority w:val="18"/>
    <w:unhideWhenUsed/>
    <w:rsid w:val="007475C0"/>
    <w:pPr>
      <w:numPr>
        <w:numId w:val="21"/>
      </w:numPr>
      <w:spacing w:after="260"/>
    </w:pPr>
    <w:rPr>
      <w:color w:val="FF0000"/>
    </w:rPr>
  </w:style>
  <w:style w:type="character" w:styleId="Heading1Char" w:customStyle="1">
    <w:name w:val="Heading 1 Char"/>
    <w:link w:val="Heading1"/>
    <w:uiPriority w:val="1"/>
    <w:rsid w:val="007475C0"/>
    <w:rPr>
      <w:rFonts w:ascii="Arial" w:hAnsi="Arial" w:eastAsia="MingLiU"/>
      <w:b/>
      <w:bCs/>
      <w:kern w:val="32"/>
      <w:sz w:val="22"/>
      <w:szCs w:val="28"/>
    </w:rPr>
  </w:style>
  <w:style w:type="numbering" w:styleId="AppendixNumbering" w:customStyle="1">
    <w:name w:val="Appendix Numbering"/>
    <w:uiPriority w:val="99"/>
    <w:rsid w:val="007475C0"/>
    <w:pPr>
      <w:numPr>
        <w:numId w:val="22"/>
      </w:numPr>
    </w:pPr>
  </w:style>
  <w:style w:type="paragraph" w:styleId="Definitions" w:customStyle="1">
    <w:name w:val="Definitions"/>
    <w:basedOn w:val="Normal"/>
    <w:rsid w:val="007475C0"/>
    <w:pPr>
      <w:numPr>
        <w:numId w:val="23"/>
      </w:numPr>
      <w:spacing w:after="260"/>
    </w:pPr>
  </w:style>
  <w:style w:type="paragraph" w:styleId="Definitions1" w:customStyle="1">
    <w:name w:val="Definitions 1"/>
    <w:basedOn w:val="Normal"/>
    <w:rsid w:val="007475C0"/>
    <w:pPr>
      <w:numPr>
        <w:ilvl w:val="1"/>
        <w:numId w:val="23"/>
      </w:numPr>
      <w:spacing w:after="260"/>
      <w:outlineLvl w:val="1"/>
    </w:pPr>
  </w:style>
  <w:style w:type="paragraph" w:styleId="Definitions2" w:customStyle="1">
    <w:name w:val="Definitions 2"/>
    <w:basedOn w:val="Normal"/>
    <w:rsid w:val="007475C0"/>
    <w:pPr>
      <w:numPr>
        <w:ilvl w:val="2"/>
        <w:numId w:val="23"/>
      </w:numPr>
      <w:spacing w:after="260"/>
      <w:outlineLvl w:val="2"/>
    </w:pPr>
  </w:style>
  <w:style w:type="paragraph" w:styleId="Definitions3" w:customStyle="1">
    <w:name w:val="Definitions 3"/>
    <w:basedOn w:val="Normal"/>
    <w:rsid w:val="007475C0"/>
    <w:pPr>
      <w:numPr>
        <w:ilvl w:val="3"/>
        <w:numId w:val="23"/>
      </w:numPr>
      <w:spacing w:after="260"/>
    </w:pPr>
  </w:style>
  <w:style w:type="paragraph" w:styleId="Definitions4" w:customStyle="1">
    <w:name w:val="Definitions 4"/>
    <w:basedOn w:val="Normal"/>
    <w:rsid w:val="007475C0"/>
    <w:pPr>
      <w:numPr>
        <w:ilvl w:val="4"/>
        <w:numId w:val="23"/>
      </w:numPr>
      <w:spacing w:after="260"/>
    </w:pPr>
  </w:style>
  <w:style w:type="numbering" w:styleId="ExhibitNumbering" w:customStyle="1">
    <w:name w:val="Exhibit Numbering"/>
    <w:uiPriority w:val="99"/>
    <w:rsid w:val="007475C0"/>
    <w:pPr>
      <w:numPr>
        <w:numId w:val="24"/>
      </w:numPr>
    </w:pPr>
  </w:style>
  <w:style w:type="paragraph" w:styleId="Footer">
    <w:name w:val="footer"/>
    <w:basedOn w:val="Normal"/>
    <w:link w:val="FooterChar"/>
    <w:uiPriority w:val="49"/>
    <w:semiHidden/>
    <w:rsid w:val="007475C0"/>
    <w:pPr>
      <w:tabs>
        <w:tab w:val="center" w:pos="4763"/>
        <w:tab w:val="right" w:pos="9497"/>
      </w:tabs>
      <w:spacing w:line="260" w:lineRule="atLeast"/>
    </w:pPr>
    <w:rPr>
      <w:rFonts w:eastAsia="SimSun"/>
      <w:sz w:val="12"/>
      <w:szCs w:val="20"/>
      <w:lang w:eastAsia="zh-CN"/>
    </w:rPr>
  </w:style>
  <w:style w:type="character" w:styleId="FooterChar" w:customStyle="1">
    <w:name w:val="Footer Char"/>
    <w:link w:val="Footer"/>
    <w:uiPriority w:val="49"/>
    <w:semiHidden/>
    <w:rsid w:val="007475C0"/>
    <w:rPr>
      <w:rFonts w:ascii="Arial" w:hAnsi="Arial" w:cstheme="minorBidi"/>
      <w:sz w:val="12"/>
      <w:lang w:eastAsia="zh-CN"/>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nt"/>
    <w:basedOn w:val="DefaultParagraphFont"/>
    <w:uiPriority w:val="99"/>
    <w:qFormat/>
    <w:rsid w:val="007475C0"/>
    <w:rPr>
      <w:vertAlign w:val="superscript"/>
    </w:rPr>
  </w:style>
  <w:style w:type="paragraph" w:styleId="Revision">
    <w:name w:val="Revision"/>
    <w:hidden/>
    <w:uiPriority w:val="99"/>
    <w:semiHidden/>
    <w:rPr>
      <w:rFonts w:ascii="Arial" w:hAnsi="Arial"/>
      <w:sz w:val="22"/>
      <w:szCs w:val="22"/>
      <w:lang w:eastAsia="zh-CN"/>
    </w:rPr>
  </w:style>
  <w:style w:type="paragraph" w:styleId="FootnoteText">
    <w:name w:val="footnote text"/>
    <w:basedOn w:val="Normal"/>
    <w:link w:val="FootnoteTextChar"/>
    <w:uiPriority w:val="13"/>
    <w:rsid w:val="007475C0"/>
    <w:rPr>
      <w:sz w:val="20"/>
      <w:szCs w:val="20"/>
    </w:rPr>
  </w:style>
  <w:style w:type="character" w:styleId="FootnoteTextChar" w:customStyle="1">
    <w:name w:val="Footnote Text Char"/>
    <w:basedOn w:val="DefaultParagraphFont"/>
    <w:link w:val="FootnoteText"/>
    <w:uiPriority w:val="13"/>
    <w:rsid w:val="007475C0"/>
    <w:rPr>
      <w:rFonts w:ascii="Arial" w:hAnsi="Arial" w:eastAsiaTheme="minorHAnsi" w:cstheme="minorBidi"/>
      <w:lang w:eastAsia="en-US"/>
    </w:rPr>
  </w:style>
  <w:style w:type="paragraph" w:styleId="Header">
    <w:name w:val="header"/>
    <w:basedOn w:val="Normal"/>
    <w:link w:val="HeaderChar"/>
    <w:uiPriority w:val="49"/>
    <w:semiHidden/>
    <w:rsid w:val="007475C0"/>
    <w:pPr>
      <w:tabs>
        <w:tab w:val="center" w:pos="4513"/>
        <w:tab w:val="right" w:pos="9026"/>
      </w:tabs>
    </w:pPr>
  </w:style>
  <w:style w:type="character" w:styleId="HeaderChar" w:customStyle="1">
    <w:name w:val="Header Char"/>
    <w:basedOn w:val="DefaultParagraphFont"/>
    <w:link w:val="Header"/>
    <w:uiPriority w:val="49"/>
    <w:semiHidden/>
    <w:rsid w:val="007475C0"/>
    <w:rPr>
      <w:rFonts w:ascii="Arial" w:hAnsi="Arial" w:eastAsiaTheme="minorHAnsi" w:cstheme="minorBidi"/>
      <w:sz w:val="22"/>
      <w:szCs w:val="22"/>
      <w:lang w:eastAsia="en-US"/>
    </w:rPr>
  </w:style>
  <w:style w:type="character" w:styleId="Heading2Char" w:customStyle="1">
    <w:name w:val="Heading 2 Char"/>
    <w:link w:val="Heading2"/>
    <w:uiPriority w:val="1"/>
    <w:rsid w:val="007475C0"/>
    <w:rPr>
      <w:rFonts w:ascii="Arial" w:hAnsi="Arial" w:eastAsia="MingLiU"/>
      <w:b/>
      <w:bCs/>
      <w:sz w:val="22"/>
      <w:szCs w:val="26"/>
    </w:rPr>
  </w:style>
  <w:style w:type="character" w:styleId="Heading3Char" w:customStyle="1">
    <w:name w:val="Heading 3 Char"/>
    <w:link w:val="Heading3"/>
    <w:uiPriority w:val="1"/>
    <w:rsid w:val="007475C0"/>
    <w:rPr>
      <w:rFonts w:ascii="Arial" w:hAnsi="Arial" w:eastAsia="MingLiU"/>
      <w:b/>
      <w:bCs/>
      <w:sz w:val="22"/>
      <w:szCs w:val="22"/>
    </w:rPr>
  </w:style>
  <w:style w:type="character" w:styleId="Heading4Char" w:customStyle="1">
    <w:name w:val="Heading 4 Char"/>
    <w:link w:val="Heading4"/>
    <w:uiPriority w:val="1"/>
    <w:rsid w:val="007475C0"/>
    <w:rPr>
      <w:rFonts w:ascii="Arial" w:hAnsi="Arial" w:eastAsia="MingLiU"/>
      <w:b/>
      <w:bCs/>
      <w:iCs/>
      <w:sz w:val="22"/>
      <w:szCs w:val="22"/>
    </w:rPr>
  </w:style>
  <w:style w:type="character" w:styleId="Heading5Char" w:customStyle="1">
    <w:name w:val="Heading 5 Char"/>
    <w:link w:val="Heading5"/>
    <w:uiPriority w:val="1"/>
    <w:rsid w:val="007475C0"/>
    <w:rPr>
      <w:rFonts w:ascii="Arial" w:hAnsi="Arial" w:eastAsia="MingLiU"/>
      <w:b/>
      <w:sz w:val="22"/>
      <w:szCs w:val="22"/>
    </w:rPr>
  </w:style>
  <w:style w:type="character" w:styleId="Heading6Char" w:customStyle="1">
    <w:name w:val="Heading 6 Char"/>
    <w:link w:val="Heading6"/>
    <w:uiPriority w:val="1"/>
    <w:rsid w:val="007475C0"/>
    <w:rPr>
      <w:rFonts w:ascii="Arial" w:hAnsi="Arial" w:eastAsia="MingLiU"/>
      <w:b/>
      <w:iCs/>
      <w:sz w:val="22"/>
      <w:szCs w:val="22"/>
    </w:rPr>
  </w:style>
  <w:style w:type="character" w:styleId="Heading7Char" w:customStyle="1">
    <w:name w:val="Heading 7 Char"/>
    <w:basedOn w:val="DefaultParagraphFont"/>
    <w:link w:val="Heading7"/>
    <w:uiPriority w:val="1"/>
    <w:rsid w:val="007475C0"/>
    <w:rPr>
      <w:rFonts w:eastAsia="MingLiU" w:asciiTheme="minorHAnsi" w:hAnsiTheme="minorHAnsi"/>
      <w:sz w:val="22"/>
      <w:szCs w:val="24"/>
    </w:rPr>
  </w:style>
  <w:style w:type="character" w:styleId="Heading8Char" w:customStyle="1">
    <w:name w:val="Heading 8 Char"/>
    <w:basedOn w:val="DefaultParagraphFont"/>
    <w:link w:val="Heading8"/>
    <w:uiPriority w:val="1"/>
    <w:rsid w:val="007475C0"/>
    <w:rPr>
      <w:rFonts w:eastAsia="MingLiU" w:asciiTheme="minorHAnsi" w:hAnsiTheme="minorHAnsi"/>
      <w:iCs/>
      <w:sz w:val="22"/>
      <w:szCs w:val="24"/>
    </w:rPr>
  </w:style>
  <w:style w:type="character" w:styleId="Heading9Char" w:customStyle="1">
    <w:name w:val="Heading 9 Char"/>
    <w:basedOn w:val="DefaultParagraphFont"/>
    <w:link w:val="Heading9"/>
    <w:uiPriority w:val="1"/>
    <w:rsid w:val="007475C0"/>
    <w:rPr>
      <w:rFonts w:eastAsia="MingLiU" w:cs="Arial" w:asciiTheme="minorHAnsi" w:hAnsiTheme="minorHAnsi"/>
      <w:sz w:val="22"/>
      <w:szCs w:val="22"/>
    </w:rPr>
  </w:style>
  <w:style w:type="character" w:styleId="Hyperlink">
    <w:name w:val="Hyperlink"/>
    <w:basedOn w:val="DefaultParagraphFont"/>
    <w:uiPriority w:val="99"/>
    <w:rsid w:val="007475C0"/>
    <w:rPr>
      <w:color w:val="0000FF" w:themeColor="hyperlink"/>
      <w:u w:val="single"/>
    </w:rPr>
  </w:style>
  <w:style w:type="paragraph" w:styleId="Index1">
    <w:name w:val="index 1"/>
    <w:basedOn w:val="Normal"/>
    <w:next w:val="Normal"/>
    <w:autoRedefine/>
    <w:uiPriority w:val="49"/>
    <w:semiHidden/>
    <w:rsid w:val="007475C0"/>
    <w:pPr>
      <w:spacing w:after="120"/>
      <w:ind w:left="221" w:hanging="221"/>
    </w:pPr>
    <w:rPr>
      <w:rFonts w:eastAsia="Times New Roman"/>
    </w:rPr>
  </w:style>
  <w:style w:type="paragraph" w:styleId="Index2">
    <w:name w:val="index 2"/>
    <w:basedOn w:val="Normal"/>
    <w:next w:val="Normal"/>
    <w:autoRedefine/>
    <w:uiPriority w:val="49"/>
    <w:semiHidden/>
    <w:rsid w:val="007475C0"/>
    <w:pPr>
      <w:spacing w:after="120"/>
      <w:ind w:left="442" w:hanging="221"/>
    </w:pPr>
    <w:rPr>
      <w:rFonts w:eastAsia="Times New Roman"/>
    </w:rPr>
  </w:style>
  <w:style w:type="paragraph" w:styleId="Index3">
    <w:name w:val="index 3"/>
    <w:basedOn w:val="Normal"/>
    <w:next w:val="Normal"/>
    <w:autoRedefine/>
    <w:uiPriority w:val="49"/>
    <w:semiHidden/>
    <w:rsid w:val="007475C0"/>
    <w:pPr>
      <w:spacing w:after="120"/>
      <w:ind w:left="663" w:hanging="221"/>
    </w:pPr>
    <w:rPr>
      <w:rFonts w:eastAsia="Times New Roman"/>
    </w:rPr>
  </w:style>
  <w:style w:type="paragraph" w:styleId="Index4">
    <w:name w:val="index 4"/>
    <w:basedOn w:val="Normal"/>
    <w:next w:val="Normal"/>
    <w:autoRedefine/>
    <w:uiPriority w:val="49"/>
    <w:semiHidden/>
    <w:rsid w:val="007475C0"/>
    <w:pPr>
      <w:spacing w:after="120"/>
      <w:ind w:left="879" w:hanging="221"/>
    </w:pPr>
    <w:rPr>
      <w:rFonts w:eastAsia="Times New Roman"/>
    </w:rPr>
  </w:style>
  <w:style w:type="paragraph" w:styleId="Index5">
    <w:name w:val="index 5"/>
    <w:basedOn w:val="Normal"/>
    <w:next w:val="Normal"/>
    <w:autoRedefine/>
    <w:uiPriority w:val="49"/>
    <w:semiHidden/>
    <w:rsid w:val="007475C0"/>
    <w:pPr>
      <w:spacing w:after="120"/>
      <w:ind w:left="1100" w:hanging="221"/>
    </w:pPr>
    <w:rPr>
      <w:rFonts w:eastAsia="Times New Roman"/>
    </w:rPr>
  </w:style>
  <w:style w:type="paragraph" w:styleId="Index6">
    <w:name w:val="index 6"/>
    <w:basedOn w:val="Normal"/>
    <w:next w:val="Normal"/>
    <w:autoRedefine/>
    <w:uiPriority w:val="49"/>
    <w:semiHidden/>
    <w:rsid w:val="007475C0"/>
    <w:pPr>
      <w:spacing w:after="120"/>
      <w:ind w:left="1321" w:hanging="221"/>
    </w:pPr>
    <w:rPr>
      <w:rFonts w:eastAsia="Times New Roman"/>
    </w:rPr>
  </w:style>
  <w:style w:type="paragraph" w:styleId="Index7">
    <w:name w:val="index 7"/>
    <w:basedOn w:val="Normal"/>
    <w:next w:val="Normal"/>
    <w:autoRedefine/>
    <w:uiPriority w:val="49"/>
    <w:semiHidden/>
    <w:rsid w:val="007475C0"/>
    <w:pPr>
      <w:spacing w:after="120"/>
      <w:ind w:left="1542" w:hanging="221"/>
    </w:pPr>
    <w:rPr>
      <w:rFonts w:eastAsia="Times New Roman"/>
    </w:rPr>
  </w:style>
  <w:style w:type="paragraph" w:styleId="Index8">
    <w:name w:val="index 8"/>
    <w:basedOn w:val="Normal"/>
    <w:next w:val="Normal"/>
    <w:autoRedefine/>
    <w:uiPriority w:val="49"/>
    <w:semiHidden/>
    <w:rsid w:val="007475C0"/>
    <w:pPr>
      <w:spacing w:after="120"/>
      <w:ind w:left="1763" w:hanging="221"/>
    </w:pPr>
    <w:rPr>
      <w:rFonts w:eastAsia="Times New Roman"/>
    </w:rPr>
  </w:style>
  <w:style w:type="paragraph" w:styleId="Index9">
    <w:name w:val="index 9"/>
    <w:basedOn w:val="Normal"/>
    <w:next w:val="Normal"/>
    <w:autoRedefine/>
    <w:uiPriority w:val="49"/>
    <w:semiHidden/>
    <w:rsid w:val="007475C0"/>
    <w:pPr>
      <w:spacing w:after="120"/>
      <w:ind w:left="1979" w:hanging="221"/>
    </w:pPr>
    <w:rPr>
      <w:rFonts w:eastAsia="Times New Roman"/>
    </w:rPr>
  </w:style>
  <w:style w:type="paragraph" w:styleId="IndexHeading">
    <w:name w:val="index heading"/>
    <w:basedOn w:val="Normal"/>
    <w:next w:val="Index1"/>
    <w:uiPriority w:val="49"/>
    <w:semiHidden/>
    <w:rsid w:val="007475C0"/>
    <w:rPr>
      <w:rFonts w:asciiTheme="majorHAnsi" w:hAnsiTheme="majorHAnsi" w:eastAsiaTheme="majorEastAsia" w:cstheme="majorBidi"/>
      <w:b/>
      <w:bCs/>
    </w:rPr>
  </w:style>
  <w:style w:type="paragraph" w:styleId="ListParagraph">
    <w:name w:val="List Paragraph"/>
    <w:basedOn w:val="Normal"/>
    <w:uiPriority w:val="34"/>
    <w:qFormat/>
    <w:rsid w:val="007475C0"/>
    <w:pPr>
      <w:ind w:left="720"/>
      <w:contextualSpacing/>
    </w:pPr>
  </w:style>
  <w:style w:type="paragraph" w:styleId="Notes" w:customStyle="1">
    <w:name w:val="Notes"/>
    <w:basedOn w:val="Normal"/>
    <w:rsid w:val="007475C0"/>
    <w:pPr>
      <w:pBdr>
        <w:top w:val="single" w:color="auto" w:sz="12" w:space="1"/>
        <w:left w:val="single" w:color="auto" w:sz="12" w:space="4"/>
        <w:bottom w:val="single" w:color="auto" w:sz="12" w:space="1"/>
        <w:right w:val="single" w:color="auto" w:sz="12" w:space="4"/>
      </w:pBdr>
      <w:spacing w:after="260"/>
    </w:pPr>
    <w:rPr>
      <w:b/>
      <w:i/>
      <w:color w:val="FF0000"/>
      <w:sz w:val="18"/>
    </w:rPr>
  </w:style>
  <w:style w:type="numbering" w:styleId="NumAltDefinitions" w:customStyle="1">
    <w:name w:val="NumAltDefinitions"/>
    <w:uiPriority w:val="99"/>
    <w:rsid w:val="007475C0"/>
    <w:pPr>
      <w:numPr>
        <w:numId w:val="26"/>
      </w:numPr>
    </w:pPr>
  </w:style>
  <w:style w:type="numbering" w:styleId="NumAltParties" w:customStyle="1">
    <w:name w:val="NumAltParties"/>
    <w:uiPriority w:val="99"/>
    <w:rsid w:val="007475C0"/>
    <w:pPr>
      <w:numPr>
        <w:numId w:val="27"/>
      </w:numPr>
    </w:pPr>
  </w:style>
  <w:style w:type="numbering" w:styleId="NumDefinitions" w:customStyle="1">
    <w:name w:val="NumDefinitions"/>
    <w:uiPriority w:val="99"/>
    <w:rsid w:val="007475C0"/>
    <w:pPr>
      <w:numPr>
        <w:numId w:val="28"/>
      </w:numPr>
    </w:pPr>
  </w:style>
  <w:style w:type="numbering" w:styleId="NumMain" w:customStyle="1">
    <w:name w:val="NumMain"/>
    <w:uiPriority w:val="99"/>
    <w:rsid w:val="007475C0"/>
    <w:pPr>
      <w:numPr>
        <w:numId w:val="29"/>
      </w:numPr>
    </w:pPr>
  </w:style>
  <w:style w:type="numbering" w:styleId="NumPara" w:customStyle="1">
    <w:name w:val="NumPara"/>
    <w:uiPriority w:val="99"/>
    <w:rsid w:val="007475C0"/>
    <w:pPr>
      <w:numPr>
        <w:numId w:val="30"/>
      </w:numPr>
    </w:pPr>
  </w:style>
  <w:style w:type="numbering" w:styleId="NumParties" w:customStyle="1">
    <w:name w:val="NumParties"/>
    <w:uiPriority w:val="99"/>
    <w:rsid w:val="007475C0"/>
    <w:pPr>
      <w:numPr>
        <w:numId w:val="31"/>
      </w:numPr>
    </w:pPr>
  </w:style>
  <w:style w:type="numbering" w:styleId="NumRecitals" w:customStyle="1">
    <w:name w:val="NumRecitals"/>
    <w:uiPriority w:val="99"/>
    <w:rsid w:val="007475C0"/>
    <w:pPr>
      <w:numPr>
        <w:numId w:val="32"/>
      </w:numPr>
    </w:pPr>
  </w:style>
  <w:style w:type="numbering" w:styleId="NumSch" w:customStyle="1">
    <w:name w:val="NumSch"/>
    <w:uiPriority w:val="99"/>
    <w:rsid w:val="007475C0"/>
    <w:pPr>
      <w:numPr>
        <w:numId w:val="33"/>
      </w:numPr>
    </w:pPr>
  </w:style>
  <w:style w:type="character" w:styleId="PageNumber">
    <w:name w:val="page number"/>
    <w:uiPriority w:val="49"/>
    <w:semiHidden/>
    <w:rsid w:val="007475C0"/>
    <w:rPr>
      <w:rFonts w:ascii="Arial" w:hAnsi="Arial"/>
      <w:sz w:val="20"/>
    </w:rPr>
  </w:style>
  <w:style w:type="paragraph" w:styleId="Parties" w:customStyle="1">
    <w:name w:val="Parties"/>
    <w:basedOn w:val="Normal"/>
    <w:rsid w:val="007475C0"/>
    <w:pPr>
      <w:numPr>
        <w:numId w:val="34"/>
      </w:numPr>
      <w:spacing w:after="260"/>
    </w:pPr>
  </w:style>
  <w:style w:type="character" w:styleId="PlaceholderText">
    <w:name w:val="Placeholder Text"/>
    <w:basedOn w:val="DefaultParagraphFont"/>
    <w:uiPriority w:val="99"/>
    <w:semiHidden/>
    <w:rsid w:val="007475C0"/>
    <w:rPr>
      <w:color w:val="808080"/>
    </w:rPr>
  </w:style>
  <w:style w:type="paragraph" w:styleId="Recitals" w:customStyle="1">
    <w:name w:val="Recitals"/>
    <w:basedOn w:val="Normal"/>
    <w:rsid w:val="007475C0"/>
    <w:pPr>
      <w:numPr>
        <w:numId w:val="35"/>
      </w:numPr>
      <w:spacing w:after="260"/>
    </w:pPr>
  </w:style>
  <w:style w:type="paragraph" w:styleId="SchLevel1" w:customStyle="1">
    <w:name w:val="Sch Level 1"/>
    <w:basedOn w:val="Heading1"/>
    <w:uiPriority w:val="59"/>
    <w:semiHidden/>
    <w:rsid w:val="007475C0"/>
    <w:pPr>
      <w:outlineLvl w:val="1"/>
    </w:pPr>
    <w:rPr>
      <w:b w:val="0"/>
    </w:rPr>
  </w:style>
  <w:style w:type="paragraph" w:styleId="SchHead1" w:customStyle="1">
    <w:name w:val="Sch Head 1"/>
    <w:basedOn w:val="SchLevel1"/>
    <w:next w:val="Normal"/>
    <w:uiPriority w:val="59"/>
    <w:semiHidden/>
    <w:rsid w:val="007475C0"/>
    <w:rPr>
      <w:b/>
      <w:u w:val="single"/>
    </w:rPr>
  </w:style>
  <w:style w:type="paragraph" w:styleId="SchLevel2" w:customStyle="1">
    <w:name w:val="Sch Level 2"/>
    <w:basedOn w:val="Heading2"/>
    <w:uiPriority w:val="59"/>
    <w:semiHidden/>
    <w:rsid w:val="007475C0"/>
    <w:pPr>
      <w:outlineLvl w:val="2"/>
    </w:pPr>
    <w:rPr>
      <w:b w:val="0"/>
    </w:rPr>
  </w:style>
  <w:style w:type="paragraph" w:styleId="SchHead2" w:customStyle="1">
    <w:name w:val="Sch Head 2"/>
    <w:basedOn w:val="SchLevel2"/>
    <w:next w:val="Normal"/>
    <w:uiPriority w:val="59"/>
    <w:semiHidden/>
    <w:rsid w:val="007475C0"/>
    <w:rPr>
      <w:b/>
    </w:rPr>
  </w:style>
  <w:style w:type="paragraph" w:styleId="SchLevel3" w:customStyle="1">
    <w:name w:val="Sch Level 3"/>
    <w:basedOn w:val="Heading3"/>
    <w:uiPriority w:val="59"/>
    <w:semiHidden/>
    <w:rsid w:val="007475C0"/>
    <w:pPr>
      <w:outlineLvl w:val="3"/>
    </w:pPr>
    <w:rPr>
      <w:b w:val="0"/>
    </w:rPr>
  </w:style>
  <w:style w:type="paragraph" w:styleId="SchHead3" w:customStyle="1">
    <w:name w:val="Sch Head 3"/>
    <w:basedOn w:val="SchLevel3"/>
    <w:next w:val="Normal"/>
    <w:uiPriority w:val="59"/>
    <w:semiHidden/>
    <w:rsid w:val="007475C0"/>
    <w:rPr>
      <w:b/>
    </w:rPr>
  </w:style>
  <w:style w:type="paragraph" w:styleId="SchLevel4" w:customStyle="1">
    <w:name w:val="Sch Level 4"/>
    <w:basedOn w:val="Heading4"/>
    <w:uiPriority w:val="59"/>
    <w:semiHidden/>
    <w:rsid w:val="007475C0"/>
    <w:pPr>
      <w:outlineLvl w:val="4"/>
    </w:pPr>
    <w:rPr>
      <w:b w:val="0"/>
    </w:rPr>
  </w:style>
  <w:style w:type="paragraph" w:styleId="SchHead4" w:customStyle="1">
    <w:name w:val="Sch Head 4"/>
    <w:basedOn w:val="SchLevel4"/>
    <w:next w:val="Normal"/>
    <w:uiPriority w:val="59"/>
    <w:semiHidden/>
    <w:rsid w:val="007475C0"/>
    <w:rPr>
      <w:b/>
    </w:rPr>
  </w:style>
  <w:style w:type="paragraph" w:styleId="SchLevel5" w:customStyle="1">
    <w:name w:val="Sch Level 5"/>
    <w:basedOn w:val="Heading5"/>
    <w:uiPriority w:val="59"/>
    <w:semiHidden/>
    <w:rsid w:val="007475C0"/>
    <w:pPr>
      <w:outlineLvl w:val="5"/>
    </w:pPr>
    <w:rPr>
      <w:b w:val="0"/>
    </w:rPr>
  </w:style>
  <w:style w:type="paragraph" w:styleId="SchHead5" w:customStyle="1">
    <w:name w:val="Sch Head 5"/>
    <w:basedOn w:val="SchLevel5"/>
    <w:next w:val="Normal"/>
    <w:uiPriority w:val="59"/>
    <w:semiHidden/>
    <w:rsid w:val="007475C0"/>
    <w:rPr>
      <w:b/>
    </w:rPr>
  </w:style>
  <w:style w:type="paragraph" w:styleId="SchLevel6" w:customStyle="1">
    <w:name w:val="Sch Level 6"/>
    <w:basedOn w:val="Heading6"/>
    <w:uiPriority w:val="59"/>
    <w:semiHidden/>
    <w:rsid w:val="007475C0"/>
    <w:pPr>
      <w:outlineLvl w:val="6"/>
    </w:pPr>
    <w:rPr>
      <w:b w:val="0"/>
    </w:rPr>
  </w:style>
  <w:style w:type="paragraph" w:styleId="SchHead6" w:customStyle="1">
    <w:name w:val="Sch Head 6"/>
    <w:basedOn w:val="SchLevel6"/>
    <w:next w:val="Normal"/>
    <w:uiPriority w:val="59"/>
    <w:semiHidden/>
    <w:rsid w:val="007475C0"/>
    <w:rPr>
      <w:b/>
    </w:rPr>
  </w:style>
  <w:style w:type="numbering" w:styleId="ScheduleNumbering" w:customStyle="1">
    <w:name w:val="Schedule Numbering"/>
    <w:uiPriority w:val="99"/>
    <w:rsid w:val="007475C0"/>
    <w:pPr>
      <w:numPr>
        <w:numId w:val="36"/>
      </w:numPr>
    </w:pPr>
  </w:style>
  <w:style w:type="numbering" w:styleId="SectionNumbering" w:customStyle="1">
    <w:name w:val="Section Numbering"/>
    <w:uiPriority w:val="99"/>
    <w:rsid w:val="007475C0"/>
    <w:pPr>
      <w:numPr>
        <w:numId w:val="37"/>
      </w:numPr>
    </w:pPr>
  </w:style>
  <w:style w:type="paragraph" w:styleId="ssAgrTypeText" w:customStyle="1">
    <w:name w:val="ssAgrTypeText"/>
    <w:basedOn w:val="Normal"/>
    <w:uiPriority w:val="99"/>
    <w:semiHidden/>
    <w:rsid w:val="007475C0"/>
    <w:pPr>
      <w:keepNext/>
      <w:spacing w:after="260"/>
      <w:outlineLvl w:val="0"/>
    </w:pPr>
    <w:rPr>
      <w:rFonts w:cs="Arial"/>
      <w:b/>
      <w:bCs/>
      <w:caps/>
    </w:rPr>
  </w:style>
  <w:style w:type="paragraph" w:styleId="ssAsiaLogo" w:customStyle="1">
    <w:name w:val="ssAsiaLogo"/>
    <w:basedOn w:val="Normal"/>
    <w:uiPriority w:val="49"/>
    <w:semiHidden/>
    <w:rsid w:val="007475C0"/>
    <w:pPr>
      <w:spacing w:before="240"/>
      <w:jc w:val="left"/>
    </w:pPr>
    <w:rPr>
      <w:rFonts w:ascii="DFKai-SB" w:hAnsi="DFKai-SB" w:eastAsia="DFKai-SB"/>
      <w:sz w:val="40"/>
      <w:szCs w:val="40"/>
    </w:rPr>
  </w:style>
  <w:style w:type="paragraph" w:styleId="ssAuthor" w:customStyle="1">
    <w:name w:val="ssAuthor"/>
    <w:basedOn w:val="Normal"/>
    <w:next w:val="ssPara"/>
    <w:uiPriority w:val="49"/>
    <w:semiHidden/>
    <w:rsid w:val="007475C0"/>
    <w:pPr>
      <w:spacing w:line="260" w:lineRule="atLeast"/>
    </w:pPr>
    <w:rPr>
      <w:rFonts w:eastAsia="MingLiU" w:cs="Times New Roman"/>
      <w:b/>
      <w:lang w:eastAsia="zh-CN"/>
    </w:rPr>
  </w:style>
  <w:style w:type="paragraph" w:styleId="ssContactDetails" w:customStyle="1">
    <w:name w:val="ssContactDetails"/>
    <w:basedOn w:val="Normal"/>
    <w:uiPriority w:val="49"/>
    <w:rsid w:val="007475C0"/>
    <w:pPr>
      <w:spacing w:line="260" w:lineRule="exact"/>
    </w:pPr>
    <w:rPr>
      <w:rFonts w:eastAsia="MingLiU" w:cs="Times New Roman"/>
      <w:sz w:val="16"/>
      <w:szCs w:val="16"/>
      <w:lang w:eastAsia="ja-JP"/>
    </w:rPr>
  </w:style>
  <w:style w:type="paragraph" w:styleId="ssContents" w:customStyle="1">
    <w:name w:val="ssContents"/>
    <w:basedOn w:val="Normal"/>
    <w:uiPriority w:val="49"/>
    <w:semiHidden/>
    <w:rsid w:val="007475C0"/>
    <w:pPr>
      <w:spacing w:before="20"/>
      <w:jc w:val="center"/>
    </w:pPr>
    <w:rPr>
      <w:rFonts w:eastAsia="MingLiU" w:cs="Times New Roman"/>
      <w:b/>
      <w:caps/>
    </w:rPr>
  </w:style>
  <w:style w:type="paragraph" w:styleId="ssDate" w:customStyle="1">
    <w:name w:val="ssDate"/>
    <w:basedOn w:val="Normal"/>
    <w:uiPriority w:val="49"/>
    <w:semiHidden/>
    <w:rsid w:val="007475C0"/>
    <w:pPr>
      <w:spacing w:line="260" w:lineRule="exact"/>
      <w:jc w:val="right"/>
    </w:pPr>
    <w:rPr>
      <w:rFonts w:eastAsia="MingLiU" w:cs="Times New Roman"/>
      <w:lang w:eastAsia="ja-JP"/>
    </w:rPr>
  </w:style>
  <w:style w:type="paragraph" w:styleId="ssDocName" w:customStyle="1">
    <w:name w:val="ssDocName"/>
    <w:basedOn w:val="Normal"/>
    <w:uiPriority w:val="49"/>
    <w:semiHidden/>
    <w:rsid w:val="007475C0"/>
    <w:pPr>
      <w:spacing w:before="120" w:after="800" w:line="260" w:lineRule="atLeast"/>
    </w:pPr>
    <w:rPr>
      <w:rFonts w:eastAsia="MingLiU" w:cs="Times New Roman"/>
      <w:sz w:val="54"/>
      <w:szCs w:val="54"/>
    </w:rPr>
  </w:style>
  <w:style w:type="paragraph" w:styleId="SSFooter" w:customStyle="1">
    <w:name w:val="SSFooter"/>
    <w:basedOn w:val="Footer"/>
    <w:uiPriority w:val="49"/>
    <w:semiHidden/>
    <w:rsid w:val="007475C0"/>
    <w:pPr>
      <w:spacing w:line="160" w:lineRule="atLeast"/>
    </w:pPr>
    <w:rPr>
      <w:rFonts w:eastAsia="Arial" w:asciiTheme="minorHAnsi" w:hAnsiTheme="minorHAnsi"/>
      <w:szCs w:val="16"/>
      <w:lang w:eastAsia="en-GB"/>
    </w:rPr>
  </w:style>
  <w:style w:type="paragraph" w:styleId="SSFooterHeading" w:customStyle="1">
    <w:name w:val="SSFooterHeading"/>
    <w:basedOn w:val="SSFooter"/>
    <w:uiPriority w:val="49"/>
    <w:semiHidden/>
    <w:rsid w:val="007475C0"/>
    <w:pPr>
      <w:spacing w:after="120"/>
    </w:pPr>
    <w:rPr>
      <w:rFonts w:asciiTheme="majorHAnsi" w:hAnsiTheme="majorHAnsi"/>
      <w:sz w:val="16"/>
    </w:rPr>
  </w:style>
  <w:style w:type="paragraph" w:styleId="ssLegendsUnderlined" w:customStyle="1">
    <w:name w:val="ssLegendsUnderlined"/>
    <w:basedOn w:val="Normal"/>
    <w:uiPriority w:val="49"/>
    <w:semiHidden/>
    <w:rsid w:val="007475C0"/>
    <w:pPr>
      <w:spacing w:line="260" w:lineRule="exact"/>
      <w:jc w:val="right"/>
    </w:pPr>
    <w:rPr>
      <w:rFonts w:eastAsia="MingLiU" w:cs="Times New Roman" w:asciiTheme="minorHAnsi" w:hAnsiTheme="minorHAnsi"/>
      <w:b/>
      <w:u w:val="single"/>
      <w:lang w:eastAsia="ja-JP"/>
    </w:rPr>
  </w:style>
  <w:style w:type="paragraph" w:styleId="ssNoHeading1" w:customStyle="1">
    <w:name w:val="ssNoHeading1"/>
    <w:basedOn w:val="Heading1"/>
    <w:uiPriority w:val="2"/>
    <w:qFormat/>
    <w:rsid w:val="007475C0"/>
    <w:pPr>
      <w:keepNext w:val="0"/>
      <w:keepLines w:val="0"/>
    </w:pPr>
    <w:rPr>
      <w:b w:val="0"/>
    </w:rPr>
  </w:style>
  <w:style w:type="paragraph" w:styleId="ssNoHeading2" w:customStyle="1">
    <w:name w:val="ssNoHeading2"/>
    <w:basedOn w:val="Heading2"/>
    <w:uiPriority w:val="2"/>
    <w:qFormat/>
    <w:rsid w:val="007475C0"/>
    <w:pPr>
      <w:keepNext w:val="0"/>
      <w:keepLines w:val="0"/>
    </w:pPr>
    <w:rPr>
      <w:b w:val="0"/>
    </w:rPr>
  </w:style>
  <w:style w:type="paragraph" w:styleId="ssNoHeading3" w:customStyle="1">
    <w:name w:val="ssNoHeading3"/>
    <w:basedOn w:val="Heading3"/>
    <w:uiPriority w:val="2"/>
    <w:qFormat/>
    <w:rsid w:val="007475C0"/>
    <w:pPr>
      <w:keepNext w:val="0"/>
      <w:keepLines w:val="0"/>
    </w:pPr>
    <w:rPr>
      <w:b w:val="0"/>
    </w:rPr>
  </w:style>
  <w:style w:type="paragraph" w:styleId="ssNoHeading4" w:customStyle="1">
    <w:name w:val="ssNoHeading4"/>
    <w:basedOn w:val="Heading4"/>
    <w:uiPriority w:val="2"/>
    <w:qFormat/>
    <w:rsid w:val="007475C0"/>
    <w:pPr>
      <w:keepNext w:val="0"/>
      <w:keepLines w:val="0"/>
    </w:pPr>
    <w:rPr>
      <w:b w:val="0"/>
    </w:rPr>
  </w:style>
  <w:style w:type="paragraph" w:styleId="ssNoHeading5" w:customStyle="1">
    <w:name w:val="ssNoHeading5"/>
    <w:basedOn w:val="Heading5"/>
    <w:uiPriority w:val="2"/>
    <w:qFormat/>
    <w:rsid w:val="007475C0"/>
    <w:pPr>
      <w:keepNext w:val="0"/>
      <w:keepLines w:val="0"/>
    </w:pPr>
    <w:rPr>
      <w:b w:val="0"/>
    </w:rPr>
  </w:style>
  <w:style w:type="paragraph" w:styleId="ssNoHeading6" w:customStyle="1">
    <w:name w:val="ssNoHeading6"/>
    <w:basedOn w:val="Heading6"/>
    <w:uiPriority w:val="2"/>
    <w:qFormat/>
    <w:rsid w:val="007475C0"/>
    <w:pPr>
      <w:keepNext w:val="0"/>
      <w:keepLines w:val="0"/>
    </w:pPr>
    <w:rPr>
      <w:b w:val="0"/>
    </w:rPr>
  </w:style>
  <w:style w:type="paragraph" w:styleId="SSOfficeDetails" w:customStyle="1">
    <w:name w:val="SSOfficeDetails"/>
    <w:basedOn w:val="ssContactDetails"/>
    <w:uiPriority w:val="49"/>
    <w:rsid w:val="007475C0"/>
    <w:pPr>
      <w:adjustRightInd w:val="0"/>
      <w:snapToGrid w:val="0"/>
      <w:spacing w:line="220" w:lineRule="exact"/>
      <w:jc w:val="left"/>
    </w:pPr>
    <w:rPr>
      <w:rFonts w:eastAsia="Real Text Light" w:cs="Arial" w:asciiTheme="minorHAnsi" w:hAnsiTheme="minorHAnsi"/>
    </w:rPr>
  </w:style>
  <w:style w:type="paragraph" w:styleId="SSOfficeDetailsME" w:customStyle="1">
    <w:name w:val="SSOfficeDetailsME"/>
    <w:basedOn w:val="SSOfficeDetails"/>
    <w:uiPriority w:val="49"/>
    <w:semiHidden/>
    <w:rsid w:val="007475C0"/>
    <w:pPr>
      <w:spacing w:line="190" w:lineRule="exact"/>
      <w:jc w:val="right"/>
    </w:pPr>
    <w:rPr>
      <w:rFonts w:ascii="Cairo" w:hAnsi="Cairo"/>
      <w:noProof/>
    </w:rPr>
  </w:style>
  <w:style w:type="paragraph" w:styleId="SSOfficeEntity" w:customStyle="1">
    <w:name w:val="SSOfficeEntity"/>
    <w:basedOn w:val="SSOfficeDetails"/>
    <w:uiPriority w:val="49"/>
    <w:rsid w:val="007475C0"/>
    <w:rPr>
      <w:rFonts w:asciiTheme="majorHAnsi" w:hAnsiTheme="majorHAnsi"/>
      <w:b/>
      <w:bCs/>
    </w:rPr>
  </w:style>
  <w:style w:type="paragraph" w:styleId="ssPara1" w:customStyle="1">
    <w:name w:val="ssPara1"/>
    <w:basedOn w:val="Normal"/>
    <w:link w:val="ssPara1Char"/>
    <w:uiPriority w:val="3"/>
    <w:qFormat/>
    <w:rsid w:val="007475C0"/>
    <w:pPr>
      <w:numPr>
        <w:ilvl w:val="1"/>
        <w:numId w:val="83"/>
      </w:numPr>
      <w:spacing w:after="260"/>
    </w:pPr>
  </w:style>
  <w:style w:type="character" w:styleId="ssPara1Char" w:customStyle="1">
    <w:name w:val="ssPara1 Char"/>
    <w:basedOn w:val="DefaultParagraphFont"/>
    <w:link w:val="ssPara1"/>
    <w:uiPriority w:val="3"/>
    <w:rsid w:val="007475C0"/>
    <w:rPr>
      <w:rFonts w:ascii="Arial" w:hAnsi="Arial" w:eastAsiaTheme="minorHAnsi" w:cstheme="minorBidi"/>
      <w:sz w:val="22"/>
      <w:szCs w:val="22"/>
      <w:lang w:eastAsia="en-US"/>
    </w:rPr>
  </w:style>
  <w:style w:type="paragraph" w:styleId="ssPara2" w:customStyle="1">
    <w:name w:val="ssPara2"/>
    <w:basedOn w:val="Normal"/>
    <w:uiPriority w:val="3"/>
    <w:qFormat/>
    <w:rsid w:val="007475C0"/>
    <w:pPr>
      <w:numPr>
        <w:ilvl w:val="2"/>
        <w:numId w:val="83"/>
      </w:numPr>
      <w:spacing w:after="260"/>
    </w:pPr>
  </w:style>
  <w:style w:type="paragraph" w:styleId="ssPara3" w:customStyle="1">
    <w:name w:val="ssPara3"/>
    <w:basedOn w:val="Normal"/>
    <w:uiPriority w:val="3"/>
    <w:rsid w:val="007475C0"/>
    <w:pPr>
      <w:numPr>
        <w:ilvl w:val="3"/>
        <w:numId w:val="83"/>
      </w:numPr>
      <w:spacing w:after="260"/>
    </w:pPr>
  </w:style>
  <w:style w:type="paragraph" w:styleId="ssPara4" w:customStyle="1">
    <w:name w:val="ssPara4"/>
    <w:basedOn w:val="Normal"/>
    <w:uiPriority w:val="3"/>
    <w:rsid w:val="007475C0"/>
    <w:pPr>
      <w:numPr>
        <w:ilvl w:val="4"/>
        <w:numId w:val="83"/>
      </w:numPr>
      <w:spacing w:after="260"/>
    </w:pPr>
  </w:style>
  <w:style w:type="paragraph" w:styleId="ssPara5" w:customStyle="1">
    <w:name w:val="ssPara5"/>
    <w:basedOn w:val="Normal"/>
    <w:uiPriority w:val="3"/>
    <w:rsid w:val="007475C0"/>
    <w:pPr>
      <w:numPr>
        <w:ilvl w:val="5"/>
        <w:numId w:val="83"/>
      </w:numPr>
      <w:spacing w:after="260"/>
    </w:pPr>
  </w:style>
  <w:style w:type="paragraph" w:styleId="ssPara6" w:customStyle="1">
    <w:name w:val="ssPara6"/>
    <w:basedOn w:val="Normal"/>
    <w:uiPriority w:val="3"/>
    <w:rsid w:val="007475C0"/>
    <w:pPr>
      <w:numPr>
        <w:ilvl w:val="6"/>
        <w:numId w:val="83"/>
      </w:numPr>
      <w:spacing w:after="260"/>
    </w:pPr>
  </w:style>
  <w:style w:type="paragraph" w:styleId="ssParty" w:customStyle="1">
    <w:name w:val="ssParty"/>
    <w:basedOn w:val="Normal"/>
    <w:uiPriority w:val="49"/>
    <w:semiHidden/>
    <w:rsid w:val="007475C0"/>
    <w:pPr>
      <w:spacing w:line="260" w:lineRule="atLeast"/>
    </w:pPr>
    <w:rPr>
      <w:rFonts w:eastAsia="MingLiU" w:cs="Times New Roman" w:asciiTheme="minorHAnsi" w:hAnsiTheme="minorHAnsi"/>
      <w:sz w:val="28"/>
      <w:szCs w:val="28"/>
      <w:lang w:eastAsia="en-GB"/>
    </w:rPr>
  </w:style>
  <w:style w:type="paragraph" w:styleId="ssqAgendar" w:customStyle="1">
    <w:name w:val="ssqAgendar"/>
    <w:basedOn w:val="ssPara1"/>
    <w:next w:val="ssPara1"/>
    <w:link w:val="ssqAgendarChar"/>
    <w:uiPriority w:val="10"/>
    <w:semiHidden/>
    <w:rsid w:val="007475C0"/>
    <w:pPr>
      <w:pageBreakBefore/>
      <w:numPr>
        <w:ilvl w:val="0"/>
        <w:numId w:val="38"/>
      </w:numPr>
      <w:jc w:val="center"/>
    </w:pPr>
    <w:rPr>
      <w:rFonts w:eastAsia="MingLiU"/>
      <w:b/>
      <w:caps/>
    </w:rPr>
  </w:style>
  <w:style w:type="character" w:styleId="ssqAgendarChar" w:customStyle="1">
    <w:name w:val="ssqAgendar Char"/>
    <w:basedOn w:val="ssPara1Char"/>
    <w:link w:val="ssqAgendar"/>
    <w:uiPriority w:val="10"/>
    <w:semiHidden/>
    <w:rsid w:val="007475C0"/>
    <w:rPr>
      <w:rFonts w:ascii="Arial" w:hAnsi="Arial" w:eastAsia="MingLiU" w:cstheme="minorBidi"/>
      <w:b/>
      <w:caps/>
      <w:sz w:val="22"/>
      <w:szCs w:val="22"/>
      <w:lang w:eastAsia="en-US"/>
    </w:rPr>
  </w:style>
  <w:style w:type="paragraph" w:styleId="ssqAllegato" w:customStyle="1">
    <w:name w:val="ssqAllegato"/>
    <w:basedOn w:val="ssPara1"/>
    <w:next w:val="ssPara1"/>
    <w:link w:val="ssqAllegatoChar"/>
    <w:uiPriority w:val="10"/>
    <w:semiHidden/>
    <w:rsid w:val="007475C0"/>
    <w:pPr>
      <w:numPr>
        <w:ilvl w:val="0"/>
        <w:numId w:val="39"/>
      </w:numPr>
      <w:jc w:val="center"/>
    </w:pPr>
    <w:rPr>
      <w:rFonts w:eastAsia="MingLiU"/>
      <w:b/>
      <w:caps/>
    </w:rPr>
  </w:style>
  <w:style w:type="character" w:styleId="ssqAllegatoChar" w:customStyle="1">
    <w:name w:val="ssqAllegato Char"/>
    <w:basedOn w:val="ssPara1Char"/>
    <w:link w:val="ssqAllegato"/>
    <w:uiPriority w:val="10"/>
    <w:semiHidden/>
    <w:rsid w:val="007475C0"/>
    <w:rPr>
      <w:rFonts w:ascii="Arial" w:hAnsi="Arial" w:eastAsia="MingLiU" w:cstheme="minorBidi"/>
      <w:b/>
      <w:caps/>
      <w:sz w:val="22"/>
      <w:szCs w:val="22"/>
      <w:lang w:eastAsia="en-US"/>
    </w:rPr>
  </w:style>
  <w:style w:type="paragraph" w:styleId="ssqAnexo" w:customStyle="1">
    <w:name w:val="ssqAnexo"/>
    <w:basedOn w:val="ssPara1"/>
    <w:next w:val="ssPara1"/>
    <w:link w:val="ssqAnexoChar"/>
    <w:uiPriority w:val="10"/>
    <w:semiHidden/>
    <w:rsid w:val="007475C0"/>
    <w:pPr>
      <w:pageBreakBefore/>
      <w:numPr>
        <w:ilvl w:val="0"/>
        <w:numId w:val="40"/>
      </w:numPr>
      <w:jc w:val="center"/>
    </w:pPr>
    <w:rPr>
      <w:rFonts w:eastAsia="MingLiU"/>
      <w:b/>
      <w:caps/>
    </w:rPr>
  </w:style>
  <w:style w:type="character" w:styleId="ssqAnexoChar" w:customStyle="1">
    <w:name w:val="ssqAnexo Char"/>
    <w:basedOn w:val="ssPara1Char"/>
    <w:link w:val="ssqAnexo"/>
    <w:uiPriority w:val="10"/>
    <w:semiHidden/>
    <w:rsid w:val="007475C0"/>
    <w:rPr>
      <w:rFonts w:ascii="Arial" w:hAnsi="Arial" w:eastAsia="MingLiU" w:cstheme="minorBidi"/>
      <w:b/>
      <w:caps/>
      <w:sz w:val="22"/>
      <w:szCs w:val="22"/>
      <w:lang w:eastAsia="en-US"/>
    </w:rPr>
  </w:style>
  <w:style w:type="paragraph" w:styleId="ssqAnhang" w:customStyle="1">
    <w:name w:val="ssqAnhang"/>
    <w:basedOn w:val="ssPara1"/>
    <w:next w:val="ssPara1"/>
    <w:link w:val="ssqAnhangChar"/>
    <w:uiPriority w:val="10"/>
    <w:semiHidden/>
    <w:rsid w:val="007475C0"/>
    <w:pPr>
      <w:pageBreakBefore/>
      <w:numPr>
        <w:ilvl w:val="0"/>
        <w:numId w:val="41"/>
      </w:numPr>
      <w:jc w:val="center"/>
    </w:pPr>
    <w:rPr>
      <w:rFonts w:eastAsia="MingLiU"/>
      <w:b/>
      <w:caps/>
    </w:rPr>
  </w:style>
  <w:style w:type="character" w:styleId="ssqAnhangChar" w:customStyle="1">
    <w:name w:val="ssqAnhang Char"/>
    <w:basedOn w:val="ssPara1Char"/>
    <w:link w:val="ssqAnhang"/>
    <w:uiPriority w:val="10"/>
    <w:semiHidden/>
    <w:rsid w:val="007475C0"/>
    <w:rPr>
      <w:rFonts w:ascii="Arial" w:hAnsi="Arial" w:eastAsia="MingLiU" w:cstheme="minorBidi"/>
      <w:b/>
      <w:caps/>
      <w:sz w:val="22"/>
      <w:szCs w:val="22"/>
      <w:lang w:eastAsia="en-US"/>
    </w:rPr>
  </w:style>
  <w:style w:type="paragraph" w:styleId="ssqAnlage" w:customStyle="1">
    <w:name w:val="ssqAnlage"/>
    <w:basedOn w:val="ssPara1"/>
    <w:next w:val="ssPara1"/>
    <w:link w:val="ssqAnlageChar"/>
    <w:uiPriority w:val="10"/>
    <w:semiHidden/>
    <w:rsid w:val="007475C0"/>
    <w:pPr>
      <w:pageBreakBefore/>
      <w:numPr>
        <w:ilvl w:val="0"/>
        <w:numId w:val="42"/>
      </w:numPr>
      <w:jc w:val="center"/>
    </w:pPr>
    <w:rPr>
      <w:rFonts w:eastAsia="MingLiU"/>
      <w:b/>
      <w:caps/>
    </w:rPr>
  </w:style>
  <w:style w:type="character" w:styleId="ssqAnlageChar" w:customStyle="1">
    <w:name w:val="ssqAnlage Char"/>
    <w:basedOn w:val="ssPara1Char"/>
    <w:link w:val="ssqAnlage"/>
    <w:uiPriority w:val="10"/>
    <w:semiHidden/>
    <w:rsid w:val="007475C0"/>
    <w:rPr>
      <w:rFonts w:ascii="Arial" w:hAnsi="Arial" w:eastAsia="MingLiU" w:cstheme="minorBidi"/>
      <w:b/>
      <w:caps/>
      <w:sz w:val="22"/>
      <w:szCs w:val="22"/>
      <w:lang w:eastAsia="en-US"/>
    </w:rPr>
  </w:style>
  <w:style w:type="paragraph" w:styleId="ssqAnnex" w:customStyle="1">
    <w:name w:val="ssqAnnex"/>
    <w:basedOn w:val="ssPara"/>
    <w:next w:val="ssPara"/>
    <w:link w:val="ssqAnnexChar"/>
    <w:uiPriority w:val="9"/>
    <w:rsid w:val="007475C0"/>
    <w:pPr>
      <w:pageBreakBefore/>
      <w:numPr>
        <w:ilvl w:val="1"/>
        <w:numId w:val="72"/>
      </w:numPr>
      <w:jc w:val="center"/>
    </w:pPr>
    <w:rPr>
      <w:rFonts w:eastAsia="MingLiU"/>
      <w:b/>
      <w:caps/>
    </w:rPr>
  </w:style>
  <w:style w:type="character" w:styleId="ssqAnnexChar" w:customStyle="1">
    <w:name w:val="ssqAnnex Char"/>
    <w:basedOn w:val="DefaultParagraphFont"/>
    <w:link w:val="ssqAnnex"/>
    <w:uiPriority w:val="9"/>
    <w:rsid w:val="007475C0"/>
    <w:rPr>
      <w:rFonts w:ascii="Arial" w:hAnsi="Arial" w:eastAsia="MingLiU" w:cstheme="minorBidi"/>
      <w:b/>
      <w:caps/>
      <w:sz w:val="22"/>
      <w:szCs w:val="22"/>
      <w:lang w:eastAsia="en-US"/>
    </w:rPr>
  </w:style>
  <w:style w:type="paragraph" w:styleId="ssqAnnexe" w:customStyle="1">
    <w:name w:val="ssqAnnexe"/>
    <w:basedOn w:val="Normal"/>
    <w:next w:val="ssPara1"/>
    <w:link w:val="ssqAnnexeChar"/>
    <w:uiPriority w:val="10"/>
    <w:semiHidden/>
    <w:rsid w:val="007475C0"/>
    <w:pPr>
      <w:pageBreakBefore/>
      <w:numPr>
        <w:numId w:val="43"/>
      </w:numPr>
      <w:spacing w:after="260"/>
      <w:jc w:val="center"/>
    </w:pPr>
    <w:rPr>
      <w:rFonts w:eastAsia="MingLiU" w:cs="Times New Roman" w:asciiTheme="minorHAnsi" w:hAnsiTheme="minorHAnsi"/>
      <w:b/>
      <w:caps/>
      <w:lang w:eastAsia="en-GB"/>
    </w:rPr>
  </w:style>
  <w:style w:type="character" w:styleId="ssqAnnexeChar" w:customStyle="1">
    <w:name w:val="ssqAnnexe Char"/>
    <w:basedOn w:val="DefaultParagraphFont"/>
    <w:link w:val="ssqAnnexe"/>
    <w:uiPriority w:val="10"/>
    <w:semiHidden/>
    <w:rsid w:val="007475C0"/>
    <w:rPr>
      <w:rFonts w:eastAsia="MingLiU" w:asciiTheme="minorHAnsi" w:hAnsiTheme="minorHAnsi"/>
      <w:b/>
      <w:caps/>
      <w:sz w:val="22"/>
      <w:szCs w:val="22"/>
    </w:rPr>
  </w:style>
  <w:style w:type="paragraph" w:styleId="ssqApndice" w:customStyle="1">
    <w:name w:val="ssqApéndice"/>
    <w:basedOn w:val="ssPara1"/>
    <w:next w:val="ssPara1"/>
    <w:link w:val="ssqApndiceChar"/>
    <w:uiPriority w:val="10"/>
    <w:semiHidden/>
    <w:rsid w:val="007475C0"/>
    <w:pPr>
      <w:pageBreakBefore/>
      <w:numPr>
        <w:ilvl w:val="0"/>
        <w:numId w:val="44"/>
      </w:numPr>
      <w:jc w:val="center"/>
    </w:pPr>
    <w:rPr>
      <w:rFonts w:eastAsia="MingLiU"/>
      <w:b/>
      <w:caps/>
    </w:rPr>
  </w:style>
  <w:style w:type="character" w:styleId="ssqApndiceChar" w:customStyle="1">
    <w:name w:val="ssqApéndice Char"/>
    <w:basedOn w:val="ssPara1Char"/>
    <w:link w:val="ssqApndice"/>
    <w:uiPriority w:val="10"/>
    <w:semiHidden/>
    <w:rsid w:val="007475C0"/>
    <w:rPr>
      <w:rFonts w:ascii="Arial" w:hAnsi="Arial" w:eastAsia="MingLiU" w:cstheme="minorBidi"/>
      <w:b/>
      <w:caps/>
      <w:sz w:val="22"/>
      <w:szCs w:val="22"/>
      <w:lang w:eastAsia="en-US"/>
    </w:rPr>
  </w:style>
  <w:style w:type="paragraph" w:styleId="ssqAppendice" w:customStyle="1">
    <w:name w:val="ssqAppendice"/>
    <w:basedOn w:val="ssPara1"/>
    <w:next w:val="ssPara1"/>
    <w:link w:val="ssqAppendiceChar"/>
    <w:uiPriority w:val="10"/>
    <w:semiHidden/>
    <w:rsid w:val="007475C0"/>
    <w:pPr>
      <w:pageBreakBefore/>
      <w:numPr>
        <w:ilvl w:val="0"/>
        <w:numId w:val="45"/>
      </w:numPr>
      <w:jc w:val="center"/>
    </w:pPr>
    <w:rPr>
      <w:rFonts w:eastAsia="MingLiU"/>
      <w:b/>
      <w:caps/>
    </w:rPr>
  </w:style>
  <w:style w:type="character" w:styleId="ssqAppendiceChar" w:customStyle="1">
    <w:name w:val="ssqAppendice Char"/>
    <w:basedOn w:val="ssPara1Char"/>
    <w:link w:val="ssqAppendice"/>
    <w:uiPriority w:val="10"/>
    <w:semiHidden/>
    <w:rsid w:val="007475C0"/>
    <w:rPr>
      <w:rFonts w:ascii="Arial" w:hAnsi="Arial" w:eastAsia="MingLiU" w:cstheme="minorBidi"/>
      <w:b/>
      <w:caps/>
      <w:sz w:val="22"/>
      <w:szCs w:val="22"/>
      <w:lang w:eastAsia="en-US"/>
    </w:rPr>
  </w:style>
  <w:style w:type="paragraph" w:styleId="ssqAppendix" w:customStyle="1">
    <w:name w:val="ssqAppendix"/>
    <w:basedOn w:val="ssPara"/>
    <w:next w:val="ssPara"/>
    <w:uiPriority w:val="6"/>
    <w:qFormat/>
    <w:rsid w:val="007475C0"/>
    <w:pPr>
      <w:pageBreakBefore/>
      <w:numPr>
        <w:ilvl w:val="1"/>
        <w:numId w:val="73"/>
      </w:numPr>
      <w:jc w:val="center"/>
    </w:pPr>
    <w:rPr>
      <w:rFonts w:eastAsia="MingLiU"/>
      <w:b/>
      <w:caps/>
    </w:rPr>
  </w:style>
  <w:style w:type="paragraph" w:styleId="ssqApresentar" w:customStyle="1">
    <w:name w:val="ssqApresentar"/>
    <w:basedOn w:val="ssPara1"/>
    <w:next w:val="ssPara1"/>
    <w:link w:val="ssqApresentarChar"/>
    <w:uiPriority w:val="10"/>
    <w:semiHidden/>
    <w:rsid w:val="007475C0"/>
    <w:pPr>
      <w:pageBreakBefore/>
      <w:numPr>
        <w:ilvl w:val="0"/>
        <w:numId w:val="46"/>
      </w:numPr>
      <w:jc w:val="center"/>
    </w:pPr>
    <w:rPr>
      <w:rFonts w:eastAsia="MingLiU"/>
      <w:b/>
      <w:caps/>
    </w:rPr>
  </w:style>
  <w:style w:type="character" w:styleId="ssqApresentarChar" w:customStyle="1">
    <w:name w:val="ssqApresentar Char"/>
    <w:basedOn w:val="ssPara1Char"/>
    <w:link w:val="ssqApresentar"/>
    <w:uiPriority w:val="10"/>
    <w:semiHidden/>
    <w:rsid w:val="007475C0"/>
    <w:rPr>
      <w:rFonts w:ascii="Arial" w:hAnsi="Arial" w:eastAsia="MingLiU" w:cstheme="minorBidi"/>
      <w:b/>
      <w:caps/>
      <w:sz w:val="22"/>
      <w:szCs w:val="22"/>
      <w:lang w:eastAsia="en-US"/>
    </w:rPr>
  </w:style>
  <w:style w:type="paragraph" w:styleId="ssqBewijsstuk" w:customStyle="1">
    <w:name w:val="ssqBewijsstuk"/>
    <w:basedOn w:val="Normal"/>
    <w:next w:val="ssPara1"/>
    <w:link w:val="ssqBewijsstukChar"/>
    <w:uiPriority w:val="10"/>
    <w:semiHidden/>
    <w:rsid w:val="007475C0"/>
    <w:pPr>
      <w:pageBreakBefore/>
      <w:numPr>
        <w:numId w:val="47"/>
      </w:numPr>
      <w:spacing w:after="260"/>
      <w:jc w:val="center"/>
    </w:pPr>
    <w:rPr>
      <w:rFonts w:eastAsia="SimSun" w:cs="Times New Roman" w:asciiTheme="minorHAnsi" w:hAnsiTheme="minorHAnsi"/>
      <w:b/>
      <w:caps/>
      <w:lang w:eastAsia="en-GB"/>
    </w:rPr>
  </w:style>
  <w:style w:type="character" w:styleId="ssqBewijsstukChar" w:customStyle="1">
    <w:name w:val="ssqBewijsstuk Char"/>
    <w:basedOn w:val="DefaultParagraphFont"/>
    <w:link w:val="ssqBewijsstuk"/>
    <w:uiPriority w:val="10"/>
    <w:semiHidden/>
    <w:rsid w:val="007475C0"/>
    <w:rPr>
      <w:rFonts w:asciiTheme="minorHAnsi" w:hAnsiTheme="minorHAnsi"/>
      <w:b/>
      <w:caps/>
      <w:sz w:val="22"/>
      <w:szCs w:val="22"/>
    </w:rPr>
  </w:style>
  <w:style w:type="paragraph" w:styleId="ssqBijlage" w:customStyle="1">
    <w:name w:val="ssqBijlage"/>
    <w:basedOn w:val="Normal"/>
    <w:next w:val="ssPara1"/>
    <w:link w:val="ssqBijlageChar"/>
    <w:uiPriority w:val="10"/>
    <w:semiHidden/>
    <w:rsid w:val="007475C0"/>
    <w:pPr>
      <w:pageBreakBefore/>
      <w:numPr>
        <w:numId w:val="48"/>
      </w:numPr>
      <w:spacing w:after="260"/>
      <w:jc w:val="center"/>
    </w:pPr>
    <w:rPr>
      <w:rFonts w:eastAsia="SimSun" w:cs="Times New Roman" w:asciiTheme="minorHAnsi" w:hAnsiTheme="minorHAnsi"/>
      <w:b/>
      <w:caps/>
      <w:lang w:eastAsia="en-GB"/>
    </w:rPr>
  </w:style>
  <w:style w:type="character" w:styleId="ssqBijlageChar" w:customStyle="1">
    <w:name w:val="ssqBijlage Char"/>
    <w:basedOn w:val="DefaultParagraphFont"/>
    <w:link w:val="ssqBijlage"/>
    <w:uiPriority w:val="10"/>
    <w:semiHidden/>
    <w:rsid w:val="007475C0"/>
    <w:rPr>
      <w:rFonts w:asciiTheme="minorHAnsi" w:hAnsiTheme="minorHAnsi"/>
      <w:b/>
      <w:caps/>
      <w:sz w:val="22"/>
      <w:szCs w:val="22"/>
    </w:rPr>
  </w:style>
  <w:style w:type="paragraph" w:styleId="ssqCalendario" w:customStyle="1">
    <w:name w:val="ssqCalendario"/>
    <w:basedOn w:val="ssPara1"/>
    <w:next w:val="ssPara1"/>
    <w:link w:val="ssqCalendarioChar"/>
    <w:uiPriority w:val="10"/>
    <w:semiHidden/>
    <w:rsid w:val="007475C0"/>
    <w:pPr>
      <w:pageBreakBefore/>
      <w:numPr>
        <w:ilvl w:val="0"/>
        <w:numId w:val="49"/>
      </w:numPr>
      <w:jc w:val="center"/>
    </w:pPr>
    <w:rPr>
      <w:rFonts w:eastAsia="MingLiU"/>
      <w:b/>
      <w:caps/>
    </w:rPr>
  </w:style>
  <w:style w:type="character" w:styleId="ssqCalendarioChar" w:customStyle="1">
    <w:name w:val="ssqCalendario Char"/>
    <w:basedOn w:val="ssPara1Char"/>
    <w:link w:val="ssqCalendario"/>
    <w:uiPriority w:val="10"/>
    <w:semiHidden/>
    <w:rsid w:val="007475C0"/>
    <w:rPr>
      <w:rFonts w:ascii="Arial" w:hAnsi="Arial" w:eastAsia="MingLiU" w:cstheme="minorBidi"/>
      <w:b/>
      <w:caps/>
      <w:sz w:val="22"/>
      <w:szCs w:val="22"/>
      <w:lang w:eastAsia="en-US"/>
    </w:rPr>
  </w:style>
  <w:style w:type="paragraph" w:styleId="ssqDeel" w:customStyle="1">
    <w:name w:val="ssqDeel"/>
    <w:basedOn w:val="Normal"/>
    <w:next w:val="ssPara1"/>
    <w:link w:val="ssqDeelChar"/>
    <w:uiPriority w:val="10"/>
    <w:semiHidden/>
    <w:rsid w:val="007475C0"/>
    <w:pPr>
      <w:pageBreakBefore/>
      <w:numPr>
        <w:numId w:val="50"/>
      </w:numPr>
      <w:spacing w:after="260"/>
      <w:jc w:val="center"/>
    </w:pPr>
    <w:rPr>
      <w:rFonts w:eastAsia="SimSun" w:cs="Times New Roman" w:asciiTheme="minorHAnsi" w:hAnsiTheme="minorHAnsi"/>
      <w:b/>
      <w:caps/>
      <w:lang w:eastAsia="en-GB"/>
    </w:rPr>
  </w:style>
  <w:style w:type="character" w:styleId="ssqDeelChar" w:customStyle="1">
    <w:name w:val="ssqDeel Char"/>
    <w:basedOn w:val="DefaultParagraphFont"/>
    <w:link w:val="ssqDeel"/>
    <w:uiPriority w:val="10"/>
    <w:semiHidden/>
    <w:rsid w:val="007475C0"/>
    <w:rPr>
      <w:rFonts w:asciiTheme="minorHAnsi" w:hAnsiTheme="minorHAnsi"/>
      <w:b/>
      <w:caps/>
      <w:sz w:val="22"/>
      <w:szCs w:val="22"/>
    </w:rPr>
  </w:style>
  <w:style w:type="paragraph" w:styleId="ssqExhibit" w:customStyle="1">
    <w:name w:val="ssqExhibit"/>
    <w:basedOn w:val="ssPara"/>
    <w:next w:val="ssPara"/>
    <w:uiPriority w:val="7"/>
    <w:qFormat/>
    <w:rsid w:val="007475C0"/>
    <w:pPr>
      <w:pageBreakBefore/>
      <w:numPr>
        <w:ilvl w:val="1"/>
        <w:numId w:val="74"/>
      </w:numPr>
      <w:jc w:val="center"/>
    </w:pPr>
    <w:rPr>
      <w:rFonts w:eastAsia="MingLiU"/>
      <w:b/>
      <w:caps/>
    </w:rPr>
  </w:style>
  <w:style w:type="paragraph" w:styleId="ssqExibir" w:customStyle="1">
    <w:name w:val="ssqExibir"/>
    <w:basedOn w:val="ssPara1"/>
    <w:next w:val="ssPara1"/>
    <w:link w:val="ssqExibirChar"/>
    <w:uiPriority w:val="10"/>
    <w:semiHidden/>
    <w:rsid w:val="007475C0"/>
    <w:pPr>
      <w:pageBreakBefore/>
      <w:numPr>
        <w:ilvl w:val="0"/>
        <w:numId w:val="51"/>
      </w:numPr>
      <w:jc w:val="center"/>
    </w:pPr>
    <w:rPr>
      <w:rFonts w:eastAsia="MingLiU"/>
      <w:b/>
      <w:caps/>
    </w:rPr>
  </w:style>
  <w:style w:type="character" w:styleId="ssqExibirChar" w:customStyle="1">
    <w:name w:val="ssqExibir Char"/>
    <w:basedOn w:val="ssPara1Char"/>
    <w:link w:val="ssqExibir"/>
    <w:uiPriority w:val="10"/>
    <w:semiHidden/>
    <w:rsid w:val="007475C0"/>
    <w:rPr>
      <w:rFonts w:ascii="Arial" w:hAnsi="Arial" w:eastAsia="MingLiU" w:cstheme="minorBidi"/>
      <w:b/>
      <w:caps/>
      <w:sz w:val="22"/>
      <w:szCs w:val="22"/>
      <w:lang w:eastAsia="en-US"/>
    </w:rPr>
  </w:style>
  <w:style w:type="paragraph" w:styleId="ssqExposicin" w:customStyle="1">
    <w:name w:val="ssqExposición"/>
    <w:basedOn w:val="ssPara1"/>
    <w:next w:val="ssPara1"/>
    <w:link w:val="ssqExposicinChar"/>
    <w:uiPriority w:val="10"/>
    <w:semiHidden/>
    <w:rsid w:val="007475C0"/>
    <w:pPr>
      <w:pageBreakBefore/>
      <w:numPr>
        <w:ilvl w:val="0"/>
        <w:numId w:val="52"/>
      </w:numPr>
      <w:jc w:val="center"/>
    </w:pPr>
    <w:rPr>
      <w:rFonts w:eastAsia="MingLiU"/>
      <w:b/>
      <w:caps/>
    </w:rPr>
  </w:style>
  <w:style w:type="character" w:styleId="ssqExposicinChar" w:customStyle="1">
    <w:name w:val="ssqExposición Char"/>
    <w:basedOn w:val="ssPara1Char"/>
    <w:link w:val="ssqExposicin"/>
    <w:uiPriority w:val="10"/>
    <w:semiHidden/>
    <w:rsid w:val="007475C0"/>
    <w:rPr>
      <w:rFonts w:ascii="Arial" w:hAnsi="Arial" w:eastAsia="MingLiU" w:cstheme="minorBidi"/>
      <w:b/>
      <w:caps/>
      <w:sz w:val="22"/>
      <w:szCs w:val="22"/>
      <w:lang w:eastAsia="en-US"/>
    </w:rPr>
  </w:style>
  <w:style w:type="paragraph" w:styleId="ssqListe" w:customStyle="1">
    <w:name w:val="ssqListe"/>
    <w:basedOn w:val="ssPara1"/>
    <w:next w:val="ssPara1"/>
    <w:link w:val="ssqListeChar"/>
    <w:uiPriority w:val="10"/>
    <w:semiHidden/>
    <w:rsid w:val="007475C0"/>
    <w:pPr>
      <w:pageBreakBefore/>
      <w:numPr>
        <w:ilvl w:val="0"/>
        <w:numId w:val="53"/>
      </w:numPr>
      <w:jc w:val="center"/>
    </w:pPr>
    <w:rPr>
      <w:rFonts w:eastAsia="MingLiU"/>
      <w:b/>
      <w:caps/>
    </w:rPr>
  </w:style>
  <w:style w:type="character" w:styleId="ssqListeChar" w:customStyle="1">
    <w:name w:val="ssqListe Char"/>
    <w:basedOn w:val="ssPara1Char"/>
    <w:link w:val="ssqListe"/>
    <w:uiPriority w:val="10"/>
    <w:semiHidden/>
    <w:rsid w:val="007475C0"/>
    <w:rPr>
      <w:rFonts w:ascii="Arial" w:hAnsi="Arial" w:eastAsia="MingLiU" w:cstheme="minorBidi"/>
      <w:b/>
      <w:caps/>
      <w:sz w:val="22"/>
      <w:szCs w:val="22"/>
      <w:lang w:eastAsia="en-US"/>
    </w:rPr>
  </w:style>
  <w:style w:type="paragraph" w:styleId="ssqMarcao" w:customStyle="1">
    <w:name w:val="ssqMarcação"/>
    <w:basedOn w:val="ssPara1"/>
    <w:next w:val="ssPara1"/>
    <w:link w:val="ssqMarcaoChar"/>
    <w:uiPriority w:val="10"/>
    <w:semiHidden/>
    <w:rsid w:val="007475C0"/>
    <w:pPr>
      <w:pageBreakBefore/>
      <w:numPr>
        <w:ilvl w:val="0"/>
        <w:numId w:val="54"/>
      </w:numPr>
      <w:jc w:val="center"/>
    </w:pPr>
    <w:rPr>
      <w:rFonts w:eastAsia="MingLiU"/>
      <w:b/>
      <w:caps/>
    </w:rPr>
  </w:style>
  <w:style w:type="character" w:styleId="ssqMarcaoChar" w:customStyle="1">
    <w:name w:val="ssqMarcação Char"/>
    <w:basedOn w:val="ssPara1Char"/>
    <w:link w:val="ssqMarcao"/>
    <w:uiPriority w:val="10"/>
    <w:semiHidden/>
    <w:rsid w:val="007475C0"/>
    <w:rPr>
      <w:rFonts w:ascii="Arial" w:hAnsi="Arial" w:eastAsia="MingLiU" w:cstheme="minorBidi"/>
      <w:b/>
      <w:caps/>
      <w:sz w:val="22"/>
      <w:szCs w:val="22"/>
      <w:lang w:eastAsia="en-US"/>
    </w:rPr>
  </w:style>
  <w:style w:type="paragraph" w:styleId="ssqMarcar" w:customStyle="1">
    <w:name w:val="ssqMarcar"/>
    <w:basedOn w:val="ssPara1"/>
    <w:next w:val="ssPara1"/>
    <w:link w:val="ssqMarcarChar"/>
    <w:uiPriority w:val="10"/>
    <w:semiHidden/>
    <w:rsid w:val="007475C0"/>
    <w:pPr>
      <w:pageBreakBefore/>
      <w:numPr>
        <w:ilvl w:val="0"/>
        <w:numId w:val="55"/>
      </w:numPr>
      <w:jc w:val="center"/>
    </w:pPr>
    <w:rPr>
      <w:rFonts w:eastAsia="MingLiU"/>
      <w:b/>
      <w:caps/>
    </w:rPr>
  </w:style>
  <w:style w:type="character" w:styleId="ssqMarcarChar" w:customStyle="1">
    <w:name w:val="ssqMarcar Char"/>
    <w:basedOn w:val="ssPara1Char"/>
    <w:link w:val="ssqMarcar"/>
    <w:uiPriority w:val="10"/>
    <w:semiHidden/>
    <w:rsid w:val="007475C0"/>
    <w:rPr>
      <w:rFonts w:ascii="Arial" w:hAnsi="Arial" w:eastAsia="MingLiU" w:cstheme="minorBidi"/>
      <w:b/>
      <w:caps/>
      <w:sz w:val="22"/>
      <w:szCs w:val="22"/>
      <w:lang w:eastAsia="en-US"/>
    </w:rPr>
  </w:style>
  <w:style w:type="paragraph" w:styleId="ssqMostrar" w:customStyle="1">
    <w:name w:val="ssqMostrar"/>
    <w:basedOn w:val="ssPara1"/>
    <w:next w:val="ssPara1"/>
    <w:link w:val="ssqMostrarChar"/>
    <w:uiPriority w:val="10"/>
    <w:semiHidden/>
    <w:rsid w:val="007475C0"/>
    <w:pPr>
      <w:pageBreakBefore/>
      <w:numPr>
        <w:ilvl w:val="0"/>
        <w:numId w:val="56"/>
      </w:numPr>
      <w:jc w:val="center"/>
    </w:pPr>
    <w:rPr>
      <w:rFonts w:eastAsia="MingLiU"/>
      <w:b/>
      <w:caps/>
    </w:rPr>
  </w:style>
  <w:style w:type="character" w:styleId="ssqMostrarChar" w:customStyle="1">
    <w:name w:val="ssqMostrar Char"/>
    <w:basedOn w:val="ssPara1Char"/>
    <w:link w:val="ssqMostrar"/>
    <w:uiPriority w:val="10"/>
    <w:semiHidden/>
    <w:rsid w:val="007475C0"/>
    <w:rPr>
      <w:rFonts w:ascii="Arial" w:hAnsi="Arial" w:eastAsia="MingLiU" w:cstheme="minorBidi"/>
      <w:b/>
      <w:caps/>
      <w:sz w:val="22"/>
      <w:szCs w:val="22"/>
      <w:lang w:eastAsia="en-US"/>
    </w:rPr>
  </w:style>
  <w:style w:type="paragraph" w:styleId="ssqPart" w:customStyle="1">
    <w:name w:val="ssqPart"/>
    <w:basedOn w:val="ssPara"/>
    <w:next w:val="ssPara"/>
    <w:uiPriority w:val="10"/>
    <w:qFormat/>
    <w:rsid w:val="007475C0"/>
    <w:pPr>
      <w:numPr>
        <w:ilvl w:val="1"/>
        <w:numId w:val="77"/>
      </w:numPr>
      <w:jc w:val="center"/>
    </w:pPr>
    <w:rPr>
      <w:rFonts w:eastAsia="MingLiU"/>
      <w:b/>
      <w:caps/>
    </w:rPr>
  </w:style>
  <w:style w:type="paragraph" w:styleId="ssqParte" w:customStyle="1">
    <w:name w:val="ssqParte"/>
    <w:basedOn w:val="ssPara1"/>
    <w:next w:val="ssPara1"/>
    <w:link w:val="ssqParteChar"/>
    <w:uiPriority w:val="10"/>
    <w:semiHidden/>
    <w:rsid w:val="007475C0"/>
    <w:pPr>
      <w:numPr>
        <w:ilvl w:val="0"/>
        <w:numId w:val="57"/>
      </w:numPr>
      <w:jc w:val="center"/>
    </w:pPr>
    <w:rPr>
      <w:rFonts w:eastAsia="MingLiU"/>
      <w:b/>
      <w:caps/>
    </w:rPr>
  </w:style>
  <w:style w:type="character" w:styleId="ssqParteChar" w:customStyle="1">
    <w:name w:val="ssqParte Char"/>
    <w:basedOn w:val="ssPara1Char"/>
    <w:link w:val="ssqParte"/>
    <w:uiPriority w:val="10"/>
    <w:semiHidden/>
    <w:rsid w:val="007475C0"/>
    <w:rPr>
      <w:rFonts w:ascii="Arial" w:hAnsi="Arial" w:eastAsia="MingLiU" w:cstheme="minorBidi"/>
      <w:b/>
      <w:caps/>
      <w:sz w:val="22"/>
      <w:szCs w:val="22"/>
      <w:lang w:eastAsia="en-US"/>
    </w:rPr>
  </w:style>
  <w:style w:type="paragraph" w:styleId="ssqPartie" w:customStyle="1">
    <w:name w:val="ssqPartie"/>
    <w:basedOn w:val="ssPara1"/>
    <w:next w:val="ssPara1"/>
    <w:link w:val="ssqPartieChar"/>
    <w:uiPriority w:val="10"/>
    <w:semiHidden/>
    <w:rsid w:val="007475C0"/>
    <w:pPr>
      <w:numPr>
        <w:ilvl w:val="0"/>
        <w:numId w:val="58"/>
      </w:numPr>
      <w:jc w:val="center"/>
    </w:pPr>
    <w:rPr>
      <w:rFonts w:eastAsia="MingLiU"/>
      <w:b/>
      <w:caps/>
    </w:rPr>
  </w:style>
  <w:style w:type="character" w:styleId="ssqPartieChar" w:customStyle="1">
    <w:name w:val="ssqPartie Char"/>
    <w:basedOn w:val="ssPara1Char"/>
    <w:link w:val="ssqPartie"/>
    <w:uiPriority w:val="10"/>
    <w:semiHidden/>
    <w:rsid w:val="007475C0"/>
    <w:rPr>
      <w:rFonts w:ascii="Arial" w:hAnsi="Arial" w:eastAsia="MingLiU" w:cstheme="minorBidi"/>
      <w:b/>
      <w:caps/>
      <w:sz w:val="22"/>
      <w:szCs w:val="22"/>
      <w:lang w:eastAsia="en-US"/>
    </w:rPr>
  </w:style>
  <w:style w:type="paragraph" w:styleId="ssqProductie" w:customStyle="1">
    <w:name w:val="ssqProductie"/>
    <w:basedOn w:val="Normal"/>
    <w:next w:val="ssPara1"/>
    <w:link w:val="ssqProductieChar"/>
    <w:uiPriority w:val="10"/>
    <w:semiHidden/>
    <w:rsid w:val="007475C0"/>
    <w:pPr>
      <w:pageBreakBefore/>
      <w:numPr>
        <w:numId w:val="59"/>
      </w:numPr>
      <w:spacing w:after="260"/>
      <w:jc w:val="center"/>
    </w:pPr>
    <w:rPr>
      <w:rFonts w:eastAsia="SimSun" w:cs="Times New Roman" w:asciiTheme="minorHAnsi" w:hAnsiTheme="minorHAnsi"/>
      <w:b/>
      <w:caps/>
      <w:lang w:eastAsia="en-GB"/>
    </w:rPr>
  </w:style>
  <w:style w:type="character" w:styleId="ssqProductieChar" w:customStyle="1">
    <w:name w:val="ssqProductie Char"/>
    <w:basedOn w:val="DefaultParagraphFont"/>
    <w:link w:val="ssqProductie"/>
    <w:uiPriority w:val="10"/>
    <w:semiHidden/>
    <w:rsid w:val="007475C0"/>
    <w:rPr>
      <w:rFonts w:asciiTheme="minorHAnsi" w:hAnsiTheme="minorHAnsi"/>
      <w:b/>
      <w:caps/>
      <w:sz w:val="22"/>
      <w:szCs w:val="22"/>
    </w:rPr>
  </w:style>
  <w:style w:type="paragraph" w:styleId="ssqPrograma" w:customStyle="1">
    <w:name w:val="ssqPrograma"/>
    <w:basedOn w:val="ssPara1"/>
    <w:next w:val="ssPara1"/>
    <w:link w:val="ssqProgramaChar"/>
    <w:uiPriority w:val="10"/>
    <w:semiHidden/>
    <w:rsid w:val="007475C0"/>
    <w:pPr>
      <w:pageBreakBefore/>
      <w:numPr>
        <w:ilvl w:val="0"/>
        <w:numId w:val="60"/>
      </w:numPr>
      <w:jc w:val="center"/>
    </w:pPr>
    <w:rPr>
      <w:rFonts w:eastAsia="MingLiU"/>
      <w:b/>
      <w:caps/>
    </w:rPr>
  </w:style>
  <w:style w:type="character" w:styleId="ssqProgramaChar" w:customStyle="1">
    <w:name w:val="ssqPrograma Char"/>
    <w:basedOn w:val="ssPara1Char"/>
    <w:link w:val="ssqPrograma"/>
    <w:uiPriority w:val="10"/>
    <w:semiHidden/>
    <w:rsid w:val="007475C0"/>
    <w:rPr>
      <w:rFonts w:ascii="Arial" w:hAnsi="Arial" w:eastAsia="MingLiU" w:cstheme="minorBidi"/>
      <w:b/>
      <w:caps/>
      <w:sz w:val="22"/>
      <w:szCs w:val="22"/>
      <w:lang w:eastAsia="en-US"/>
    </w:rPr>
  </w:style>
  <w:style w:type="paragraph" w:styleId="ssqScheda" w:customStyle="1">
    <w:name w:val="ssqScheda"/>
    <w:basedOn w:val="ssPara1"/>
    <w:next w:val="ssPara1"/>
    <w:link w:val="ssqSchedaChar"/>
    <w:uiPriority w:val="10"/>
    <w:semiHidden/>
    <w:rsid w:val="007475C0"/>
    <w:pPr>
      <w:pageBreakBefore/>
      <w:numPr>
        <w:ilvl w:val="0"/>
        <w:numId w:val="61"/>
      </w:numPr>
      <w:jc w:val="center"/>
    </w:pPr>
    <w:rPr>
      <w:rFonts w:eastAsia="MingLiU"/>
      <w:b/>
      <w:caps/>
    </w:rPr>
  </w:style>
  <w:style w:type="character" w:styleId="ssqSchedaChar" w:customStyle="1">
    <w:name w:val="ssqScheda Char"/>
    <w:basedOn w:val="ssPara1Char"/>
    <w:link w:val="ssqScheda"/>
    <w:uiPriority w:val="10"/>
    <w:semiHidden/>
    <w:rsid w:val="007475C0"/>
    <w:rPr>
      <w:rFonts w:ascii="Arial" w:hAnsi="Arial" w:eastAsia="MingLiU" w:cstheme="minorBidi"/>
      <w:b/>
      <w:caps/>
      <w:sz w:val="22"/>
      <w:szCs w:val="22"/>
      <w:lang w:eastAsia="en-US"/>
    </w:rPr>
  </w:style>
  <w:style w:type="paragraph" w:styleId="ssqSchedule" w:customStyle="1">
    <w:name w:val="ssqSchedule"/>
    <w:basedOn w:val="ssPara"/>
    <w:next w:val="ssPara"/>
    <w:uiPriority w:val="5"/>
    <w:qFormat/>
    <w:rsid w:val="007475C0"/>
    <w:pPr>
      <w:pageBreakBefore/>
      <w:numPr>
        <w:ilvl w:val="1"/>
        <w:numId w:val="79"/>
      </w:numPr>
      <w:jc w:val="center"/>
    </w:pPr>
    <w:rPr>
      <w:rFonts w:eastAsia="MingLiU"/>
      <w:b/>
      <w:caps/>
    </w:rPr>
  </w:style>
  <w:style w:type="paragraph" w:styleId="ssqSchema" w:customStyle="1">
    <w:name w:val="ssqSchema"/>
    <w:basedOn w:val="Normal"/>
    <w:next w:val="ssPara1"/>
    <w:link w:val="ssqSchemaChar"/>
    <w:uiPriority w:val="10"/>
    <w:semiHidden/>
    <w:rsid w:val="007475C0"/>
    <w:pPr>
      <w:pageBreakBefore/>
      <w:numPr>
        <w:numId w:val="62"/>
      </w:numPr>
      <w:spacing w:after="260"/>
      <w:jc w:val="center"/>
    </w:pPr>
    <w:rPr>
      <w:rFonts w:eastAsia="SimSun" w:cs="Times New Roman" w:asciiTheme="minorHAnsi" w:hAnsiTheme="minorHAnsi"/>
      <w:b/>
      <w:caps/>
      <w:lang w:eastAsia="en-GB"/>
    </w:rPr>
  </w:style>
  <w:style w:type="character" w:styleId="ssqSchemaChar" w:customStyle="1">
    <w:name w:val="ssqSchema Char"/>
    <w:basedOn w:val="DefaultParagraphFont"/>
    <w:link w:val="ssqSchema"/>
    <w:uiPriority w:val="10"/>
    <w:semiHidden/>
    <w:rsid w:val="007475C0"/>
    <w:rPr>
      <w:rFonts w:asciiTheme="minorHAnsi" w:hAnsiTheme="minorHAnsi"/>
      <w:b/>
      <w:caps/>
      <w:sz w:val="22"/>
      <w:szCs w:val="22"/>
    </w:rPr>
  </w:style>
  <w:style w:type="paragraph" w:styleId="ssqSeccin" w:customStyle="1">
    <w:name w:val="ssqSección"/>
    <w:basedOn w:val="ssPara1"/>
    <w:next w:val="ssPara1"/>
    <w:link w:val="ssqSeccinChar"/>
    <w:uiPriority w:val="10"/>
    <w:semiHidden/>
    <w:rsid w:val="007475C0"/>
    <w:pPr>
      <w:pageBreakBefore/>
      <w:numPr>
        <w:ilvl w:val="0"/>
        <w:numId w:val="63"/>
      </w:numPr>
      <w:jc w:val="center"/>
    </w:pPr>
    <w:rPr>
      <w:rFonts w:eastAsia="MingLiU"/>
      <w:b/>
      <w:caps/>
    </w:rPr>
  </w:style>
  <w:style w:type="character" w:styleId="ssqSeccinChar" w:customStyle="1">
    <w:name w:val="ssqSección Char"/>
    <w:basedOn w:val="ssPara1Char"/>
    <w:link w:val="ssqSeccin"/>
    <w:uiPriority w:val="10"/>
    <w:semiHidden/>
    <w:rsid w:val="007475C0"/>
    <w:rPr>
      <w:rFonts w:ascii="Arial" w:hAnsi="Arial" w:eastAsia="MingLiU" w:cstheme="minorBidi"/>
      <w:b/>
      <w:caps/>
      <w:sz w:val="22"/>
      <w:szCs w:val="22"/>
      <w:lang w:eastAsia="en-US"/>
    </w:rPr>
  </w:style>
  <w:style w:type="paragraph" w:styleId="ssqSection" w:customStyle="1">
    <w:name w:val="ssqSection"/>
    <w:basedOn w:val="ssPara"/>
    <w:next w:val="ssPara"/>
    <w:uiPriority w:val="8"/>
    <w:qFormat/>
    <w:rsid w:val="007475C0"/>
    <w:pPr>
      <w:numPr>
        <w:ilvl w:val="1"/>
        <w:numId w:val="80"/>
      </w:numPr>
      <w:jc w:val="center"/>
    </w:pPr>
    <w:rPr>
      <w:b/>
      <w:caps/>
    </w:rPr>
  </w:style>
  <w:style w:type="paragraph" w:styleId="ssqTeil" w:customStyle="1">
    <w:name w:val="ssqTeil"/>
    <w:basedOn w:val="ssPara1"/>
    <w:next w:val="ssPara1"/>
    <w:link w:val="ssqTeilChar"/>
    <w:uiPriority w:val="10"/>
    <w:semiHidden/>
    <w:rsid w:val="007475C0"/>
    <w:pPr>
      <w:numPr>
        <w:ilvl w:val="0"/>
        <w:numId w:val="64"/>
      </w:numPr>
      <w:jc w:val="center"/>
    </w:pPr>
    <w:rPr>
      <w:rFonts w:eastAsia="MingLiU"/>
      <w:b/>
      <w:caps/>
    </w:rPr>
  </w:style>
  <w:style w:type="character" w:styleId="ssqTeilChar" w:customStyle="1">
    <w:name w:val="ssqTeil Char"/>
    <w:basedOn w:val="ssPara1Char"/>
    <w:link w:val="ssqTeil"/>
    <w:uiPriority w:val="10"/>
    <w:semiHidden/>
    <w:rsid w:val="007475C0"/>
    <w:rPr>
      <w:rFonts w:ascii="Arial" w:hAnsi="Arial" w:eastAsia="MingLiU" w:cstheme="minorBidi"/>
      <w:b/>
      <w:caps/>
      <w:sz w:val="22"/>
      <w:szCs w:val="22"/>
      <w:lang w:eastAsia="en-US"/>
    </w:rPr>
  </w:style>
  <w:style w:type="paragraph" w:styleId="ssqToCAdd" w:customStyle="1">
    <w:name w:val="ssqToCAdd"/>
    <w:basedOn w:val="ssPara"/>
    <w:uiPriority w:val="11"/>
    <w:rsid w:val="007475C0"/>
    <w:rPr>
      <w:lang w:val="en-US"/>
    </w:rPr>
  </w:style>
  <w:style w:type="paragraph" w:styleId="ssq2" w:customStyle="1">
    <w:name w:val="ssqالجدول"/>
    <w:basedOn w:val="ssPara1"/>
    <w:next w:val="ssPara1"/>
    <w:link w:val="ssqChar"/>
    <w:uiPriority w:val="10"/>
    <w:semiHidden/>
    <w:rsid w:val="007475C0"/>
    <w:pPr>
      <w:pageBreakBefore/>
      <w:numPr>
        <w:ilvl w:val="0"/>
        <w:numId w:val="65"/>
      </w:numPr>
      <w:jc w:val="center"/>
    </w:pPr>
    <w:rPr>
      <w:b/>
      <w:caps/>
    </w:rPr>
  </w:style>
  <w:style w:type="character" w:styleId="ssqChar" w:customStyle="1">
    <w:name w:val="ssqالجدول Char"/>
    <w:basedOn w:val="ssPara1Char"/>
    <w:link w:val="ssq2"/>
    <w:uiPriority w:val="10"/>
    <w:semiHidden/>
    <w:rsid w:val="007475C0"/>
    <w:rPr>
      <w:rFonts w:ascii="Arial" w:hAnsi="Arial" w:eastAsiaTheme="minorHAnsi" w:cstheme="minorBidi"/>
      <w:b/>
      <w:caps/>
      <w:sz w:val="22"/>
      <w:szCs w:val="22"/>
      <w:lang w:eastAsia="en-US"/>
    </w:rPr>
  </w:style>
  <w:style w:type="paragraph" w:styleId="ssq0" w:customStyle="1">
    <w:name w:val="ssqالمرفق"/>
    <w:basedOn w:val="ssPara1"/>
    <w:next w:val="ssPara1"/>
    <w:link w:val="ssqChar0"/>
    <w:uiPriority w:val="10"/>
    <w:semiHidden/>
    <w:rsid w:val="007475C0"/>
    <w:pPr>
      <w:pageBreakBefore/>
      <w:numPr>
        <w:ilvl w:val="0"/>
        <w:numId w:val="66"/>
      </w:numPr>
      <w:jc w:val="center"/>
    </w:pPr>
    <w:rPr>
      <w:b/>
      <w:caps/>
    </w:rPr>
  </w:style>
  <w:style w:type="character" w:styleId="ssqChar0" w:customStyle="1">
    <w:name w:val="ssqالمرفق Char"/>
    <w:basedOn w:val="ssPara1Char"/>
    <w:link w:val="ssq0"/>
    <w:uiPriority w:val="10"/>
    <w:semiHidden/>
    <w:rsid w:val="007475C0"/>
    <w:rPr>
      <w:rFonts w:ascii="Arial" w:hAnsi="Arial" w:eastAsiaTheme="minorHAnsi" w:cstheme="minorBidi"/>
      <w:b/>
      <w:caps/>
      <w:sz w:val="22"/>
      <w:szCs w:val="22"/>
      <w:lang w:eastAsia="en-US"/>
    </w:rPr>
  </w:style>
  <w:style w:type="paragraph" w:styleId="ssq1" w:customStyle="1">
    <w:name w:val="ssqالملحق"/>
    <w:basedOn w:val="ssPara1"/>
    <w:next w:val="ssPara1"/>
    <w:link w:val="ssqChar1"/>
    <w:uiPriority w:val="10"/>
    <w:semiHidden/>
    <w:rsid w:val="007475C0"/>
    <w:pPr>
      <w:pageBreakBefore/>
      <w:numPr>
        <w:ilvl w:val="0"/>
        <w:numId w:val="67"/>
      </w:numPr>
      <w:jc w:val="center"/>
    </w:pPr>
    <w:rPr>
      <w:b/>
      <w:caps/>
    </w:rPr>
  </w:style>
  <w:style w:type="character" w:styleId="ssqChar1" w:customStyle="1">
    <w:name w:val="ssqالملحق Char"/>
    <w:basedOn w:val="ssPara1Char"/>
    <w:link w:val="ssq1"/>
    <w:uiPriority w:val="10"/>
    <w:semiHidden/>
    <w:rsid w:val="007475C0"/>
    <w:rPr>
      <w:rFonts w:ascii="Arial" w:hAnsi="Arial" w:eastAsiaTheme="minorHAnsi" w:cstheme="minorBidi"/>
      <w:b/>
      <w:caps/>
      <w:sz w:val="22"/>
      <w:szCs w:val="22"/>
      <w:lang w:eastAsia="en-US"/>
    </w:rPr>
  </w:style>
  <w:style w:type="paragraph" w:styleId="ssq5" w:customStyle="1">
    <w:name w:val="ssqجدول"/>
    <w:basedOn w:val="ssPara1"/>
    <w:next w:val="ssPara1"/>
    <w:link w:val="ssqChar2"/>
    <w:uiPriority w:val="10"/>
    <w:semiHidden/>
    <w:rsid w:val="007475C0"/>
    <w:pPr>
      <w:pageBreakBefore/>
      <w:numPr>
        <w:ilvl w:val="0"/>
        <w:numId w:val="68"/>
      </w:numPr>
      <w:jc w:val="center"/>
    </w:pPr>
    <w:rPr>
      <w:b/>
      <w:caps/>
    </w:rPr>
  </w:style>
  <w:style w:type="character" w:styleId="ssqChar2" w:customStyle="1">
    <w:name w:val="ssqجدول Char"/>
    <w:basedOn w:val="ssPara1Char"/>
    <w:link w:val="ssq5"/>
    <w:uiPriority w:val="10"/>
    <w:semiHidden/>
    <w:rsid w:val="007475C0"/>
    <w:rPr>
      <w:rFonts w:ascii="Arial" w:hAnsi="Arial" w:eastAsiaTheme="minorHAnsi" w:cstheme="minorBidi"/>
      <w:b/>
      <w:caps/>
      <w:sz w:val="22"/>
      <w:szCs w:val="22"/>
      <w:lang w:eastAsia="en-US"/>
    </w:rPr>
  </w:style>
  <w:style w:type="paragraph" w:styleId="ssq4" w:customStyle="1">
    <w:name w:val="ssqقسم"/>
    <w:basedOn w:val="Normal"/>
    <w:next w:val="ssPara1"/>
    <w:link w:val="ssqChar3"/>
    <w:uiPriority w:val="10"/>
    <w:semiHidden/>
    <w:rsid w:val="007475C0"/>
    <w:pPr>
      <w:pageBreakBefore/>
      <w:numPr>
        <w:numId w:val="69"/>
      </w:numPr>
      <w:spacing w:after="260"/>
      <w:jc w:val="center"/>
    </w:pPr>
    <w:rPr>
      <w:rFonts w:eastAsia="SimSun" w:cs="Times New Roman" w:asciiTheme="minorHAnsi" w:hAnsiTheme="minorHAnsi"/>
      <w:b/>
      <w:caps/>
      <w:lang w:eastAsia="en-GB"/>
    </w:rPr>
  </w:style>
  <w:style w:type="character" w:styleId="ssqChar3" w:customStyle="1">
    <w:name w:val="ssqقسم Char"/>
    <w:basedOn w:val="DefaultParagraphFont"/>
    <w:link w:val="ssq4"/>
    <w:uiPriority w:val="10"/>
    <w:semiHidden/>
    <w:rsid w:val="007475C0"/>
    <w:rPr>
      <w:rFonts w:asciiTheme="minorHAnsi" w:hAnsiTheme="minorHAnsi"/>
      <w:b/>
      <w:caps/>
      <w:sz w:val="22"/>
      <w:szCs w:val="22"/>
    </w:rPr>
  </w:style>
  <w:style w:type="paragraph" w:styleId="ssq" w:customStyle="1">
    <w:name w:val="ssqمبرز"/>
    <w:basedOn w:val="Normal"/>
    <w:next w:val="ssPara1"/>
    <w:link w:val="ssqChar4"/>
    <w:uiPriority w:val="10"/>
    <w:semiHidden/>
    <w:rsid w:val="007475C0"/>
    <w:pPr>
      <w:pageBreakBefore/>
      <w:numPr>
        <w:numId w:val="70"/>
      </w:numPr>
      <w:spacing w:after="260"/>
      <w:jc w:val="center"/>
    </w:pPr>
    <w:rPr>
      <w:rFonts w:eastAsia="SimSun" w:cs="Times New Roman" w:asciiTheme="minorHAnsi" w:hAnsiTheme="minorHAnsi"/>
      <w:b/>
      <w:caps/>
      <w:lang w:eastAsia="en-GB"/>
    </w:rPr>
  </w:style>
  <w:style w:type="character" w:styleId="ssqChar4" w:customStyle="1">
    <w:name w:val="ssqمبرز Char"/>
    <w:basedOn w:val="DefaultParagraphFont"/>
    <w:link w:val="ssq"/>
    <w:uiPriority w:val="10"/>
    <w:semiHidden/>
    <w:rsid w:val="007475C0"/>
    <w:rPr>
      <w:rFonts w:asciiTheme="minorHAnsi" w:hAnsiTheme="minorHAnsi"/>
      <w:b/>
      <w:caps/>
      <w:sz w:val="22"/>
      <w:szCs w:val="22"/>
    </w:rPr>
  </w:style>
  <w:style w:type="paragraph" w:styleId="ssq3" w:customStyle="1">
    <w:name w:val="ssqملحق"/>
    <w:basedOn w:val="Normal"/>
    <w:next w:val="ssPara1"/>
    <w:link w:val="ssqChar5"/>
    <w:uiPriority w:val="10"/>
    <w:semiHidden/>
    <w:rsid w:val="007475C0"/>
    <w:pPr>
      <w:pageBreakBefore/>
      <w:numPr>
        <w:numId w:val="71"/>
      </w:numPr>
      <w:spacing w:after="260"/>
      <w:jc w:val="center"/>
    </w:pPr>
    <w:rPr>
      <w:rFonts w:eastAsia="SimSun" w:cs="Times New Roman" w:asciiTheme="minorHAnsi" w:hAnsiTheme="minorHAnsi"/>
      <w:b/>
      <w:caps/>
      <w:lang w:eastAsia="en-GB"/>
    </w:rPr>
  </w:style>
  <w:style w:type="character" w:styleId="ssqChar5" w:customStyle="1">
    <w:name w:val="ssqملحق Char"/>
    <w:basedOn w:val="DefaultParagraphFont"/>
    <w:link w:val="ssq3"/>
    <w:uiPriority w:val="10"/>
    <w:semiHidden/>
    <w:rsid w:val="007475C0"/>
    <w:rPr>
      <w:rFonts w:asciiTheme="minorHAnsi" w:hAnsiTheme="minorHAnsi"/>
      <w:b/>
      <w:caps/>
      <w:sz w:val="22"/>
      <w:szCs w:val="22"/>
    </w:rPr>
  </w:style>
  <w:style w:type="paragraph" w:styleId="ssRestartAnnex" w:customStyle="1">
    <w:name w:val="ssRestartAnnex"/>
    <w:basedOn w:val="Normal"/>
    <w:next w:val="Normal"/>
    <w:link w:val="ssRestartAnnexChar"/>
    <w:uiPriority w:val="9"/>
    <w:rsid w:val="007475C0"/>
    <w:pPr>
      <w:numPr>
        <w:numId w:val="72"/>
      </w:numPr>
      <w:spacing w:after="260"/>
    </w:pPr>
    <w:rPr>
      <w:color w:val="FF0000"/>
      <w:lang w:val="fr-FR"/>
    </w:rPr>
  </w:style>
  <w:style w:type="character" w:styleId="ssRestartAnnexChar" w:customStyle="1">
    <w:name w:val="ssRestartAnnex Char"/>
    <w:basedOn w:val="DefaultParagraphFont"/>
    <w:link w:val="ssRestartAnnex"/>
    <w:uiPriority w:val="9"/>
    <w:rsid w:val="007475C0"/>
    <w:rPr>
      <w:rFonts w:ascii="Arial" w:hAnsi="Arial" w:eastAsiaTheme="minorHAnsi" w:cstheme="minorBidi"/>
      <w:color w:val="FF0000"/>
      <w:sz w:val="22"/>
      <w:szCs w:val="22"/>
      <w:lang w:val="fr-FR" w:eastAsia="en-US"/>
    </w:rPr>
  </w:style>
  <w:style w:type="paragraph" w:styleId="ssRestartAppendix" w:customStyle="1">
    <w:name w:val="ssRestartAppendix"/>
    <w:basedOn w:val="Normal"/>
    <w:next w:val="Normal"/>
    <w:uiPriority w:val="6"/>
    <w:rsid w:val="007475C0"/>
    <w:pPr>
      <w:numPr>
        <w:numId w:val="73"/>
      </w:numPr>
    </w:pPr>
    <w:rPr>
      <w:rFonts w:asciiTheme="minorHAnsi" w:hAnsiTheme="minorHAnsi"/>
      <w:color w:val="FF0000"/>
    </w:rPr>
  </w:style>
  <w:style w:type="paragraph" w:styleId="ssRestartExhibit" w:customStyle="1">
    <w:name w:val="ssRestartExhibit"/>
    <w:basedOn w:val="Normal"/>
    <w:next w:val="Normal"/>
    <w:uiPriority w:val="7"/>
    <w:rsid w:val="007475C0"/>
    <w:pPr>
      <w:numPr>
        <w:numId w:val="74"/>
      </w:numPr>
    </w:pPr>
    <w:rPr>
      <w:rFonts w:asciiTheme="minorHAnsi" w:hAnsiTheme="minorHAnsi"/>
      <w:color w:val="FF0000"/>
    </w:rPr>
  </w:style>
  <w:style w:type="paragraph" w:styleId="ssRestartExposicin" w:customStyle="1">
    <w:name w:val="ssRestartExposición"/>
    <w:basedOn w:val="ssqScheda"/>
    <w:next w:val="ssPara1"/>
    <w:link w:val="ssRestartExposicinChar"/>
    <w:uiPriority w:val="10"/>
    <w:semiHidden/>
    <w:rsid w:val="007475C0"/>
    <w:pPr>
      <w:numPr>
        <w:numId w:val="75"/>
      </w:numPr>
    </w:pPr>
    <w:rPr>
      <w:color w:val="FF0000"/>
    </w:rPr>
  </w:style>
  <w:style w:type="character" w:styleId="ssRestartExposicinChar" w:customStyle="1">
    <w:name w:val="ssRestartExposición Char"/>
    <w:basedOn w:val="ssqSchedaChar"/>
    <w:link w:val="ssRestartExposicin"/>
    <w:uiPriority w:val="10"/>
    <w:semiHidden/>
    <w:rsid w:val="007475C0"/>
    <w:rPr>
      <w:rFonts w:ascii="Arial" w:hAnsi="Arial" w:eastAsia="MingLiU" w:cstheme="minorBidi"/>
      <w:b/>
      <w:caps/>
      <w:color w:val="FF0000"/>
      <w:sz w:val="22"/>
      <w:szCs w:val="22"/>
      <w:lang w:eastAsia="en-US"/>
    </w:rPr>
  </w:style>
  <w:style w:type="paragraph" w:styleId="ssRestartNumber" w:customStyle="1">
    <w:name w:val="ssRestartNumber"/>
    <w:basedOn w:val="Normal"/>
    <w:next w:val="ssPara"/>
    <w:uiPriority w:val="4"/>
    <w:rsid w:val="007475C0"/>
    <w:pPr>
      <w:numPr>
        <w:numId w:val="76"/>
      </w:numPr>
    </w:pPr>
    <w:rPr>
      <w:rFonts w:eastAsia="MingLiU" w:cs="Times New Roman"/>
      <w:color w:val="FF0000"/>
      <w:lang w:eastAsia="en-GB"/>
    </w:rPr>
  </w:style>
  <w:style w:type="paragraph" w:styleId="ssRestartPart" w:customStyle="1">
    <w:name w:val="ssRestartPart"/>
    <w:basedOn w:val="Normal"/>
    <w:next w:val="Normal"/>
    <w:uiPriority w:val="10"/>
    <w:rsid w:val="007475C0"/>
    <w:pPr>
      <w:numPr>
        <w:numId w:val="77"/>
      </w:numPr>
    </w:pPr>
    <w:rPr>
      <w:rFonts w:asciiTheme="minorHAnsi" w:hAnsiTheme="minorHAnsi"/>
      <w:color w:val="FF0000"/>
    </w:rPr>
  </w:style>
  <w:style w:type="paragraph" w:styleId="ssRestartScheda" w:customStyle="1">
    <w:name w:val="ssRestartScheda"/>
    <w:basedOn w:val="ssqAnnex"/>
    <w:next w:val="ssPara1"/>
    <w:link w:val="ssRestartSchedaChar"/>
    <w:uiPriority w:val="10"/>
    <w:semiHidden/>
    <w:rsid w:val="007475C0"/>
    <w:pPr>
      <w:numPr>
        <w:ilvl w:val="0"/>
        <w:numId w:val="78"/>
      </w:numPr>
    </w:pPr>
    <w:rPr>
      <w:color w:val="FF0000"/>
    </w:rPr>
  </w:style>
  <w:style w:type="character" w:styleId="ssRestartSchedaChar" w:customStyle="1">
    <w:name w:val="ssRestartScheda Char"/>
    <w:basedOn w:val="ssqAnnexChar"/>
    <w:link w:val="ssRestartScheda"/>
    <w:uiPriority w:val="10"/>
    <w:semiHidden/>
    <w:rsid w:val="007475C0"/>
    <w:rPr>
      <w:rFonts w:ascii="Arial" w:hAnsi="Arial" w:eastAsia="MingLiU" w:cstheme="minorBidi"/>
      <w:b/>
      <w:caps/>
      <w:color w:val="FF0000"/>
      <w:sz w:val="22"/>
      <w:szCs w:val="22"/>
      <w:lang w:eastAsia="en-US"/>
    </w:rPr>
  </w:style>
  <w:style w:type="paragraph" w:styleId="ssRestartSchedule" w:customStyle="1">
    <w:name w:val="ssRestartSchedule"/>
    <w:basedOn w:val="Normal"/>
    <w:next w:val="Normal"/>
    <w:uiPriority w:val="5"/>
    <w:rsid w:val="007475C0"/>
    <w:pPr>
      <w:numPr>
        <w:numId w:val="79"/>
      </w:numPr>
    </w:pPr>
    <w:rPr>
      <w:rFonts w:asciiTheme="minorHAnsi" w:hAnsiTheme="minorHAnsi"/>
      <w:color w:val="FF0000"/>
    </w:rPr>
  </w:style>
  <w:style w:type="paragraph" w:styleId="ssRestartSection" w:customStyle="1">
    <w:name w:val="ssRestartSection"/>
    <w:basedOn w:val="Normal"/>
    <w:next w:val="Normal"/>
    <w:uiPriority w:val="8"/>
    <w:rsid w:val="007475C0"/>
    <w:pPr>
      <w:numPr>
        <w:numId w:val="80"/>
      </w:numPr>
    </w:pPr>
    <w:rPr>
      <w:rFonts w:asciiTheme="minorHAnsi" w:hAnsiTheme="minorHAnsi"/>
      <w:color w:val="FF0000"/>
    </w:rPr>
  </w:style>
  <w:style w:type="paragraph" w:styleId="ssRole" w:customStyle="1">
    <w:name w:val="ssRole"/>
    <w:basedOn w:val="Normal"/>
    <w:uiPriority w:val="49"/>
    <w:semiHidden/>
    <w:rsid w:val="007475C0"/>
    <w:pPr>
      <w:spacing w:line="260" w:lineRule="atLeast"/>
    </w:pPr>
    <w:rPr>
      <w:rFonts w:eastAsia="MingLiU" w:cs="Times New Roman"/>
      <w:sz w:val="18"/>
      <w:szCs w:val="18"/>
    </w:rPr>
  </w:style>
  <w:style w:type="paragraph" w:styleId="ssSection" w:customStyle="1">
    <w:name w:val="ssSection"/>
    <w:basedOn w:val="Normal"/>
    <w:next w:val="ssPara"/>
    <w:uiPriority w:val="49"/>
    <w:semiHidden/>
    <w:rsid w:val="007475C0"/>
    <w:pPr>
      <w:keepNext/>
      <w:pageBreakBefore/>
      <w:spacing w:after="260"/>
      <w:jc w:val="center"/>
      <w:outlineLvl w:val="0"/>
    </w:pPr>
    <w:rPr>
      <w:b/>
      <w:caps/>
    </w:rPr>
  </w:style>
  <w:style w:type="paragraph" w:styleId="ssSpacingLine" w:customStyle="1">
    <w:name w:val="ssSpacingLine"/>
    <w:basedOn w:val="Normal"/>
    <w:uiPriority w:val="49"/>
    <w:semiHidden/>
    <w:rsid w:val="007475C0"/>
    <w:pPr>
      <w:spacing w:line="260" w:lineRule="atLeast"/>
    </w:pPr>
    <w:rPr>
      <w:rFonts w:eastAsia="MingLiU" w:cs="Times New Roman"/>
      <w:lang w:eastAsia="ja-JP"/>
    </w:rPr>
  </w:style>
  <w:style w:type="paragraph" w:styleId="ssSubject" w:customStyle="1">
    <w:name w:val="ssSubject"/>
    <w:basedOn w:val="Normal"/>
    <w:uiPriority w:val="49"/>
    <w:semiHidden/>
    <w:rsid w:val="007475C0"/>
    <w:pPr>
      <w:spacing w:line="260" w:lineRule="exact"/>
    </w:pPr>
    <w:rPr>
      <w:rFonts w:eastAsia="MingLiU" w:cs="Times New Roman"/>
      <w:b/>
      <w:lang w:eastAsia="ja-JP"/>
    </w:rPr>
  </w:style>
  <w:style w:type="table" w:styleId="ssTable" w:customStyle="1">
    <w:name w:val="ssTable"/>
    <w:basedOn w:val="TableNormal"/>
    <w:rsid w:val="007475C0"/>
    <w:rPr>
      <w:rFonts w:asciiTheme="minorHAnsi" w:hAnsiTheme="minorHAnsi" w:cstheme="minorBidi"/>
      <w:sz w:val="22"/>
    </w:rPr>
    <w:tblPr/>
    <w:tcPr>
      <w:tcMar>
        <w:left w:w="0" w:type="dxa"/>
        <w:right w:w="0" w:type="dxa"/>
      </w:tcMar>
    </w:tcPr>
  </w:style>
  <w:style w:type="paragraph" w:styleId="ssUserEntry" w:customStyle="1">
    <w:name w:val="ssUserEntry"/>
    <w:basedOn w:val="Normal"/>
    <w:uiPriority w:val="49"/>
    <w:semiHidden/>
    <w:rsid w:val="007475C0"/>
    <w:pPr>
      <w:spacing w:line="260" w:lineRule="exact"/>
    </w:pPr>
    <w:rPr>
      <w:rFonts w:eastAsia="MingLiU" w:cs="Times New Roman"/>
      <w:lang w:eastAsia="ja-JP"/>
    </w:rPr>
  </w:style>
  <w:style w:type="paragraph" w:styleId="ssUserEntryLettered" w:customStyle="1">
    <w:name w:val="ssUserEntryLettered"/>
    <w:basedOn w:val="ssUserEntry"/>
    <w:uiPriority w:val="49"/>
    <w:semiHidden/>
    <w:qFormat/>
    <w:rsid w:val="007475C0"/>
    <w:pPr>
      <w:numPr>
        <w:numId w:val="81"/>
      </w:numPr>
    </w:pPr>
  </w:style>
  <w:style w:type="paragraph" w:styleId="ssUserEntryNumbered" w:customStyle="1">
    <w:name w:val="ssUserEntryNumbered"/>
    <w:basedOn w:val="ssUserEntry"/>
    <w:uiPriority w:val="49"/>
    <w:semiHidden/>
    <w:qFormat/>
    <w:rsid w:val="007475C0"/>
    <w:pPr>
      <w:numPr>
        <w:numId w:val="82"/>
      </w:numPr>
    </w:pPr>
  </w:style>
  <w:style w:type="paragraph" w:styleId="Style1" w:customStyle="1">
    <w:name w:val="Style1"/>
    <w:basedOn w:val="Normal"/>
    <w:uiPriority w:val="49"/>
    <w:semiHidden/>
    <w:rsid w:val="007475C0"/>
    <w:pPr>
      <w:adjustRightInd w:val="0"/>
      <w:snapToGrid w:val="0"/>
      <w:spacing w:line="240" w:lineRule="exact"/>
      <w:jc w:val="left"/>
    </w:pPr>
    <w:rPr>
      <w:rFonts w:ascii="Noto Sans CJK SC Light" w:hAnsi="Noto Sans CJK SC Light" w:eastAsia="Real Text Light" w:cs="Arial"/>
      <w:noProof/>
      <w:sz w:val="16"/>
      <w:szCs w:val="16"/>
      <w:lang w:eastAsia="ja-JP"/>
    </w:rPr>
  </w:style>
  <w:style w:type="paragraph" w:styleId="SummaryParties" w:customStyle="1">
    <w:name w:val="Summary Parties"/>
    <w:basedOn w:val="ssPara"/>
    <w:uiPriority w:val="19"/>
    <w:semiHidden/>
    <w:rsid w:val="007475C0"/>
    <w:pPr>
      <w:tabs>
        <w:tab w:val="left" w:pos="4536"/>
      </w:tabs>
    </w:pPr>
  </w:style>
  <w:style w:type="table" w:styleId="TableGrid">
    <w:name w:val="Table Grid"/>
    <w:basedOn w:val="TableNormal"/>
    <w:rsid w:val="007475C0"/>
    <w:rPr>
      <w:rFonts w:ascii="Arial" w:hAnsi="Arial"/>
      <w:sz w:val="22"/>
    </w:rPr>
    <w:tblPr/>
  </w:style>
  <w:style w:type="paragraph" w:styleId="TOC1">
    <w:name w:val="toc 1"/>
    <w:basedOn w:val="Normal"/>
    <w:next w:val="Normal"/>
    <w:autoRedefine/>
    <w:uiPriority w:val="39"/>
    <w:rsid w:val="007475C0"/>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12"/>
    <w:rsid w:val="007475C0"/>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12"/>
    <w:rsid w:val="007475C0"/>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12"/>
    <w:rsid w:val="007475C0"/>
    <w:pPr>
      <w:tabs>
        <w:tab w:val="right" w:leader="dot" w:pos="9497"/>
      </w:tabs>
      <w:spacing w:before="260"/>
      <w:ind w:left="2694" w:right="595" w:hanging="709"/>
    </w:pPr>
    <w:rPr>
      <w:rFonts w:eastAsia="Times New Roman"/>
    </w:rPr>
  </w:style>
  <w:style w:type="paragraph" w:styleId="TOC5">
    <w:name w:val="toc 5"/>
    <w:basedOn w:val="TOC1"/>
    <w:next w:val="Normal"/>
    <w:autoRedefine/>
    <w:uiPriority w:val="12"/>
    <w:rsid w:val="007475C0"/>
    <w:pPr>
      <w:spacing w:after="100"/>
    </w:pPr>
    <w:rPr>
      <w:caps/>
    </w:rPr>
  </w:style>
  <w:style w:type="table" w:styleId="Training" w:customStyle="1">
    <w:name w:val="Training"/>
    <w:basedOn w:val="TableNormal"/>
    <w:uiPriority w:val="99"/>
    <w:rsid w:val="007475C0"/>
    <w:pPr>
      <w:spacing w:before="120" w:after="120"/>
    </w:pPr>
    <w:rPr>
      <w:rFonts w:ascii="Arial" w:hAnsi="Arial" w:eastAsia="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center"/>
      </w:pPr>
      <w:rPr>
        <w:rFonts w:ascii="Arial" w:hAnsi="Arial"/>
      </w:rPr>
    </w:tblStylePr>
  </w:style>
  <w:style w:type="paragraph" w:styleId="NormalWeb">
    <w:name w:val="Normal (Web)"/>
    <w:basedOn w:val="Normal"/>
    <w:uiPriority w:val="99"/>
    <w:semiHidden/>
    <w:unhideWhenUsed/>
    <w:rsid w:val="007475C0"/>
    <w:rPr>
      <w:rFonts w:ascii="Times New Roman" w:hAnsi="Times New Roman" w:cs="Times New Roman"/>
      <w:sz w:val="24"/>
      <w:szCs w:val="24"/>
    </w:rPr>
  </w:style>
  <w:style w:type="table" w:styleId="TableGridLight1" w:customStyle="1">
    <w:name w:val="Table Grid Light1"/>
    <w:basedOn w:val="TableNormal"/>
    <w:next w:val="TableGridLight"/>
    <w:uiPriority w:val="40"/>
    <w:rsid w:val="002A0300"/>
    <w:rPr>
      <w:rFonts w:eastAsia="Times New Roman" w:asciiTheme="minorHAnsi" w:hAnsiTheme="minorHAnsi" w:cstheme="minorBidi"/>
      <w:sz w:val="24"/>
      <w:szCs w:val="24"/>
      <w:lang w:val="en-US" w:eastAsia="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11" w:customStyle="1">
    <w:name w:val="Plain Table 11"/>
    <w:basedOn w:val="TableNormal"/>
    <w:next w:val="PlainTable1"/>
    <w:uiPriority w:val="41"/>
    <w:rsid w:val="002A0300"/>
    <w:rPr>
      <w:rFonts w:eastAsia="Times New Roman" w:asciiTheme="minorHAnsi" w:hAnsiTheme="minorHAnsi" w:cstheme="minorBidi"/>
      <w:sz w:val="24"/>
      <w:szCs w:val="24"/>
      <w:lang w:val="en-US" w:eastAsia="en-US"/>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2A030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2A030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72D8C"/>
    <w:rPr>
      <w:color w:val="605E5C"/>
      <w:shd w:val="clear" w:color="auto" w:fill="E1DFDD"/>
    </w:rPr>
  </w:style>
  <w:style w:type="character" w:styleId="FollowedHyperlink">
    <w:name w:val="FollowedHyperlink"/>
    <w:basedOn w:val="DefaultParagraphFont"/>
    <w:semiHidden/>
    <w:unhideWhenUsed/>
    <w:rsid w:val="00A72D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693">
      <w:bodyDiv w:val="1"/>
      <w:marLeft w:val="0"/>
      <w:marRight w:val="0"/>
      <w:marTop w:val="0"/>
      <w:marBottom w:val="0"/>
      <w:divBdr>
        <w:top w:val="none" w:sz="0" w:space="0" w:color="auto"/>
        <w:left w:val="none" w:sz="0" w:space="0" w:color="auto"/>
        <w:bottom w:val="none" w:sz="0" w:space="0" w:color="auto"/>
        <w:right w:val="none" w:sz="0" w:space="0" w:color="auto"/>
      </w:divBdr>
    </w:div>
    <w:div w:id="257107128">
      <w:bodyDiv w:val="1"/>
      <w:marLeft w:val="0"/>
      <w:marRight w:val="0"/>
      <w:marTop w:val="0"/>
      <w:marBottom w:val="0"/>
      <w:divBdr>
        <w:top w:val="none" w:sz="0" w:space="0" w:color="auto"/>
        <w:left w:val="none" w:sz="0" w:space="0" w:color="auto"/>
        <w:bottom w:val="none" w:sz="0" w:space="0" w:color="auto"/>
        <w:right w:val="none" w:sz="0" w:space="0" w:color="auto"/>
      </w:divBdr>
    </w:div>
    <w:div w:id="297229726">
      <w:bodyDiv w:val="1"/>
      <w:marLeft w:val="0"/>
      <w:marRight w:val="0"/>
      <w:marTop w:val="0"/>
      <w:marBottom w:val="0"/>
      <w:divBdr>
        <w:top w:val="none" w:sz="0" w:space="0" w:color="auto"/>
        <w:left w:val="none" w:sz="0" w:space="0" w:color="auto"/>
        <w:bottom w:val="none" w:sz="0" w:space="0" w:color="auto"/>
        <w:right w:val="none" w:sz="0" w:space="0" w:color="auto"/>
      </w:divBdr>
    </w:div>
    <w:div w:id="319693850">
      <w:bodyDiv w:val="1"/>
      <w:marLeft w:val="0"/>
      <w:marRight w:val="0"/>
      <w:marTop w:val="0"/>
      <w:marBottom w:val="0"/>
      <w:divBdr>
        <w:top w:val="none" w:sz="0" w:space="0" w:color="auto"/>
        <w:left w:val="none" w:sz="0" w:space="0" w:color="auto"/>
        <w:bottom w:val="none" w:sz="0" w:space="0" w:color="auto"/>
        <w:right w:val="none" w:sz="0" w:space="0" w:color="auto"/>
      </w:divBdr>
    </w:div>
    <w:div w:id="392125436">
      <w:bodyDiv w:val="1"/>
      <w:marLeft w:val="0"/>
      <w:marRight w:val="0"/>
      <w:marTop w:val="0"/>
      <w:marBottom w:val="0"/>
      <w:divBdr>
        <w:top w:val="none" w:sz="0" w:space="0" w:color="auto"/>
        <w:left w:val="none" w:sz="0" w:space="0" w:color="auto"/>
        <w:bottom w:val="none" w:sz="0" w:space="0" w:color="auto"/>
        <w:right w:val="none" w:sz="0" w:space="0" w:color="auto"/>
      </w:divBdr>
      <w:divsChild>
        <w:div w:id="121461190">
          <w:marLeft w:val="0"/>
          <w:marRight w:val="0"/>
          <w:marTop w:val="0"/>
          <w:marBottom w:val="0"/>
          <w:divBdr>
            <w:top w:val="none" w:sz="0" w:space="0" w:color="auto"/>
            <w:left w:val="none" w:sz="0" w:space="0" w:color="auto"/>
            <w:bottom w:val="none" w:sz="0" w:space="0" w:color="auto"/>
            <w:right w:val="none" w:sz="0" w:space="0" w:color="auto"/>
          </w:divBdr>
        </w:div>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 w:id="651179108">
      <w:bodyDiv w:val="1"/>
      <w:marLeft w:val="0"/>
      <w:marRight w:val="0"/>
      <w:marTop w:val="0"/>
      <w:marBottom w:val="0"/>
      <w:divBdr>
        <w:top w:val="none" w:sz="0" w:space="0" w:color="auto"/>
        <w:left w:val="none" w:sz="0" w:space="0" w:color="auto"/>
        <w:bottom w:val="none" w:sz="0" w:space="0" w:color="auto"/>
        <w:right w:val="none" w:sz="0" w:space="0" w:color="auto"/>
      </w:divBdr>
    </w:div>
    <w:div w:id="686446411">
      <w:bodyDiv w:val="1"/>
      <w:marLeft w:val="0"/>
      <w:marRight w:val="0"/>
      <w:marTop w:val="0"/>
      <w:marBottom w:val="0"/>
      <w:divBdr>
        <w:top w:val="none" w:sz="0" w:space="0" w:color="auto"/>
        <w:left w:val="none" w:sz="0" w:space="0" w:color="auto"/>
        <w:bottom w:val="none" w:sz="0" w:space="0" w:color="auto"/>
        <w:right w:val="none" w:sz="0" w:space="0" w:color="auto"/>
      </w:divBdr>
    </w:div>
    <w:div w:id="846559623">
      <w:bodyDiv w:val="1"/>
      <w:marLeft w:val="0"/>
      <w:marRight w:val="0"/>
      <w:marTop w:val="0"/>
      <w:marBottom w:val="0"/>
      <w:divBdr>
        <w:top w:val="none" w:sz="0" w:space="0" w:color="auto"/>
        <w:left w:val="none" w:sz="0" w:space="0" w:color="auto"/>
        <w:bottom w:val="none" w:sz="0" w:space="0" w:color="auto"/>
        <w:right w:val="none" w:sz="0" w:space="0" w:color="auto"/>
      </w:divBdr>
    </w:div>
    <w:div w:id="855314031">
      <w:bodyDiv w:val="1"/>
      <w:marLeft w:val="0"/>
      <w:marRight w:val="0"/>
      <w:marTop w:val="0"/>
      <w:marBottom w:val="0"/>
      <w:divBdr>
        <w:top w:val="none" w:sz="0" w:space="0" w:color="auto"/>
        <w:left w:val="none" w:sz="0" w:space="0" w:color="auto"/>
        <w:bottom w:val="none" w:sz="0" w:space="0" w:color="auto"/>
        <w:right w:val="none" w:sz="0" w:space="0" w:color="auto"/>
      </w:divBdr>
    </w:div>
    <w:div w:id="966591159">
      <w:bodyDiv w:val="1"/>
      <w:marLeft w:val="0"/>
      <w:marRight w:val="0"/>
      <w:marTop w:val="0"/>
      <w:marBottom w:val="0"/>
      <w:divBdr>
        <w:top w:val="none" w:sz="0" w:space="0" w:color="auto"/>
        <w:left w:val="none" w:sz="0" w:space="0" w:color="auto"/>
        <w:bottom w:val="none" w:sz="0" w:space="0" w:color="auto"/>
        <w:right w:val="none" w:sz="0" w:space="0" w:color="auto"/>
      </w:divBdr>
    </w:div>
    <w:div w:id="982395942">
      <w:bodyDiv w:val="1"/>
      <w:marLeft w:val="0"/>
      <w:marRight w:val="0"/>
      <w:marTop w:val="0"/>
      <w:marBottom w:val="0"/>
      <w:divBdr>
        <w:top w:val="none" w:sz="0" w:space="0" w:color="auto"/>
        <w:left w:val="none" w:sz="0" w:space="0" w:color="auto"/>
        <w:bottom w:val="none" w:sz="0" w:space="0" w:color="auto"/>
        <w:right w:val="none" w:sz="0" w:space="0" w:color="auto"/>
      </w:divBdr>
    </w:div>
    <w:div w:id="1000960613">
      <w:bodyDiv w:val="1"/>
      <w:marLeft w:val="0"/>
      <w:marRight w:val="0"/>
      <w:marTop w:val="0"/>
      <w:marBottom w:val="0"/>
      <w:divBdr>
        <w:top w:val="none" w:sz="0" w:space="0" w:color="auto"/>
        <w:left w:val="none" w:sz="0" w:space="0" w:color="auto"/>
        <w:bottom w:val="none" w:sz="0" w:space="0" w:color="auto"/>
        <w:right w:val="none" w:sz="0" w:space="0" w:color="auto"/>
      </w:divBdr>
    </w:div>
    <w:div w:id="1083069186">
      <w:bodyDiv w:val="1"/>
      <w:marLeft w:val="0"/>
      <w:marRight w:val="0"/>
      <w:marTop w:val="0"/>
      <w:marBottom w:val="0"/>
      <w:divBdr>
        <w:top w:val="none" w:sz="0" w:space="0" w:color="auto"/>
        <w:left w:val="none" w:sz="0" w:space="0" w:color="auto"/>
        <w:bottom w:val="none" w:sz="0" w:space="0" w:color="auto"/>
        <w:right w:val="none" w:sz="0" w:space="0" w:color="auto"/>
      </w:divBdr>
    </w:div>
    <w:div w:id="1219560731">
      <w:bodyDiv w:val="1"/>
      <w:marLeft w:val="0"/>
      <w:marRight w:val="0"/>
      <w:marTop w:val="0"/>
      <w:marBottom w:val="0"/>
      <w:divBdr>
        <w:top w:val="none" w:sz="0" w:space="0" w:color="auto"/>
        <w:left w:val="none" w:sz="0" w:space="0" w:color="auto"/>
        <w:bottom w:val="none" w:sz="0" w:space="0" w:color="auto"/>
        <w:right w:val="none" w:sz="0" w:space="0" w:color="auto"/>
      </w:divBdr>
      <w:divsChild>
        <w:div w:id="18555807">
          <w:marLeft w:val="0"/>
          <w:marRight w:val="0"/>
          <w:marTop w:val="0"/>
          <w:marBottom w:val="0"/>
          <w:divBdr>
            <w:top w:val="none" w:sz="0" w:space="0" w:color="auto"/>
            <w:left w:val="none" w:sz="0" w:space="0" w:color="auto"/>
            <w:bottom w:val="none" w:sz="0" w:space="0" w:color="auto"/>
            <w:right w:val="none" w:sz="0" w:space="0" w:color="auto"/>
          </w:divBdr>
          <w:divsChild>
            <w:div w:id="97796274">
              <w:marLeft w:val="0"/>
              <w:marRight w:val="0"/>
              <w:marTop w:val="30"/>
              <w:marBottom w:val="30"/>
              <w:divBdr>
                <w:top w:val="none" w:sz="0" w:space="0" w:color="auto"/>
                <w:left w:val="none" w:sz="0" w:space="0" w:color="auto"/>
                <w:bottom w:val="none" w:sz="0" w:space="0" w:color="auto"/>
                <w:right w:val="none" w:sz="0" w:space="0" w:color="auto"/>
              </w:divBdr>
              <w:divsChild>
                <w:div w:id="111831287">
                  <w:marLeft w:val="0"/>
                  <w:marRight w:val="0"/>
                  <w:marTop w:val="0"/>
                  <w:marBottom w:val="0"/>
                  <w:divBdr>
                    <w:top w:val="none" w:sz="0" w:space="0" w:color="auto"/>
                    <w:left w:val="none" w:sz="0" w:space="0" w:color="auto"/>
                    <w:bottom w:val="none" w:sz="0" w:space="0" w:color="auto"/>
                    <w:right w:val="none" w:sz="0" w:space="0" w:color="auto"/>
                  </w:divBdr>
                  <w:divsChild>
                    <w:div w:id="855577031">
                      <w:marLeft w:val="0"/>
                      <w:marRight w:val="0"/>
                      <w:marTop w:val="0"/>
                      <w:marBottom w:val="0"/>
                      <w:divBdr>
                        <w:top w:val="none" w:sz="0" w:space="0" w:color="auto"/>
                        <w:left w:val="none" w:sz="0" w:space="0" w:color="auto"/>
                        <w:bottom w:val="none" w:sz="0" w:space="0" w:color="auto"/>
                        <w:right w:val="none" w:sz="0" w:space="0" w:color="auto"/>
                      </w:divBdr>
                    </w:div>
                  </w:divsChild>
                </w:div>
                <w:div w:id="157507079">
                  <w:marLeft w:val="0"/>
                  <w:marRight w:val="0"/>
                  <w:marTop w:val="0"/>
                  <w:marBottom w:val="0"/>
                  <w:divBdr>
                    <w:top w:val="none" w:sz="0" w:space="0" w:color="auto"/>
                    <w:left w:val="none" w:sz="0" w:space="0" w:color="auto"/>
                    <w:bottom w:val="none" w:sz="0" w:space="0" w:color="auto"/>
                    <w:right w:val="none" w:sz="0" w:space="0" w:color="auto"/>
                  </w:divBdr>
                  <w:divsChild>
                    <w:div w:id="468477125">
                      <w:marLeft w:val="0"/>
                      <w:marRight w:val="0"/>
                      <w:marTop w:val="0"/>
                      <w:marBottom w:val="0"/>
                      <w:divBdr>
                        <w:top w:val="none" w:sz="0" w:space="0" w:color="auto"/>
                        <w:left w:val="none" w:sz="0" w:space="0" w:color="auto"/>
                        <w:bottom w:val="none" w:sz="0" w:space="0" w:color="auto"/>
                        <w:right w:val="none" w:sz="0" w:space="0" w:color="auto"/>
                      </w:divBdr>
                    </w:div>
                  </w:divsChild>
                </w:div>
                <w:div w:id="262228023">
                  <w:marLeft w:val="0"/>
                  <w:marRight w:val="0"/>
                  <w:marTop w:val="0"/>
                  <w:marBottom w:val="0"/>
                  <w:divBdr>
                    <w:top w:val="none" w:sz="0" w:space="0" w:color="auto"/>
                    <w:left w:val="none" w:sz="0" w:space="0" w:color="auto"/>
                    <w:bottom w:val="none" w:sz="0" w:space="0" w:color="auto"/>
                    <w:right w:val="none" w:sz="0" w:space="0" w:color="auto"/>
                  </w:divBdr>
                  <w:divsChild>
                    <w:div w:id="11077743">
                      <w:marLeft w:val="0"/>
                      <w:marRight w:val="0"/>
                      <w:marTop w:val="0"/>
                      <w:marBottom w:val="0"/>
                      <w:divBdr>
                        <w:top w:val="none" w:sz="0" w:space="0" w:color="auto"/>
                        <w:left w:val="none" w:sz="0" w:space="0" w:color="auto"/>
                        <w:bottom w:val="none" w:sz="0" w:space="0" w:color="auto"/>
                        <w:right w:val="none" w:sz="0" w:space="0" w:color="auto"/>
                      </w:divBdr>
                    </w:div>
                  </w:divsChild>
                </w:div>
                <w:div w:id="494881108">
                  <w:marLeft w:val="0"/>
                  <w:marRight w:val="0"/>
                  <w:marTop w:val="0"/>
                  <w:marBottom w:val="0"/>
                  <w:divBdr>
                    <w:top w:val="none" w:sz="0" w:space="0" w:color="auto"/>
                    <w:left w:val="none" w:sz="0" w:space="0" w:color="auto"/>
                    <w:bottom w:val="none" w:sz="0" w:space="0" w:color="auto"/>
                    <w:right w:val="none" w:sz="0" w:space="0" w:color="auto"/>
                  </w:divBdr>
                  <w:divsChild>
                    <w:div w:id="461264596">
                      <w:marLeft w:val="0"/>
                      <w:marRight w:val="0"/>
                      <w:marTop w:val="0"/>
                      <w:marBottom w:val="0"/>
                      <w:divBdr>
                        <w:top w:val="none" w:sz="0" w:space="0" w:color="auto"/>
                        <w:left w:val="none" w:sz="0" w:space="0" w:color="auto"/>
                        <w:bottom w:val="none" w:sz="0" w:space="0" w:color="auto"/>
                        <w:right w:val="none" w:sz="0" w:space="0" w:color="auto"/>
                      </w:divBdr>
                    </w:div>
                  </w:divsChild>
                </w:div>
                <w:div w:id="528302543">
                  <w:marLeft w:val="0"/>
                  <w:marRight w:val="0"/>
                  <w:marTop w:val="0"/>
                  <w:marBottom w:val="0"/>
                  <w:divBdr>
                    <w:top w:val="none" w:sz="0" w:space="0" w:color="auto"/>
                    <w:left w:val="none" w:sz="0" w:space="0" w:color="auto"/>
                    <w:bottom w:val="none" w:sz="0" w:space="0" w:color="auto"/>
                    <w:right w:val="none" w:sz="0" w:space="0" w:color="auto"/>
                  </w:divBdr>
                  <w:divsChild>
                    <w:div w:id="723216959">
                      <w:marLeft w:val="0"/>
                      <w:marRight w:val="0"/>
                      <w:marTop w:val="0"/>
                      <w:marBottom w:val="0"/>
                      <w:divBdr>
                        <w:top w:val="none" w:sz="0" w:space="0" w:color="auto"/>
                        <w:left w:val="none" w:sz="0" w:space="0" w:color="auto"/>
                        <w:bottom w:val="none" w:sz="0" w:space="0" w:color="auto"/>
                        <w:right w:val="none" w:sz="0" w:space="0" w:color="auto"/>
                      </w:divBdr>
                    </w:div>
                  </w:divsChild>
                </w:div>
                <w:div w:id="561600175">
                  <w:marLeft w:val="0"/>
                  <w:marRight w:val="0"/>
                  <w:marTop w:val="0"/>
                  <w:marBottom w:val="0"/>
                  <w:divBdr>
                    <w:top w:val="none" w:sz="0" w:space="0" w:color="auto"/>
                    <w:left w:val="none" w:sz="0" w:space="0" w:color="auto"/>
                    <w:bottom w:val="none" w:sz="0" w:space="0" w:color="auto"/>
                    <w:right w:val="none" w:sz="0" w:space="0" w:color="auto"/>
                  </w:divBdr>
                  <w:divsChild>
                    <w:div w:id="963653606">
                      <w:marLeft w:val="0"/>
                      <w:marRight w:val="0"/>
                      <w:marTop w:val="0"/>
                      <w:marBottom w:val="0"/>
                      <w:divBdr>
                        <w:top w:val="none" w:sz="0" w:space="0" w:color="auto"/>
                        <w:left w:val="none" w:sz="0" w:space="0" w:color="auto"/>
                        <w:bottom w:val="none" w:sz="0" w:space="0" w:color="auto"/>
                        <w:right w:val="none" w:sz="0" w:space="0" w:color="auto"/>
                      </w:divBdr>
                    </w:div>
                  </w:divsChild>
                </w:div>
                <w:div w:id="574514996">
                  <w:marLeft w:val="0"/>
                  <w:marRight w:val="0"/>
                  <w:marTop w:val="0"/>
                  <w:marBottom w:val="0"/>
                  <w:divBdr>
                    <w:top w:val="none" w:sz="0" w:space="0" w:color="auto"/>
                    <w:left w:val="none" w:sz="0" w:space="0" w:color="auto"/>
                    <w:bottom w:val="none" w:sz="0" w:space="0" w:color="auto"/>
                    <w:right w:val="none" w:sz="0" w:space="0" w:color="auto"/>
                  </w:divBdr>
                  <w:divsChild>
                    <w:div w:id="254478140">
                      <w:marLeft w:val="0"/>
                      <w:marRight w:val="0"/>
                      <w:marTop w:val="0"/>
                      <w:marBottom w:val="0"/>
                      <w:divBdr>
                        <w:top w:val="none" w:sz="0" w:space="0" w:color="auto"/>
                        <w:left w:val="none" w:sz="0" w:space="0" w:color="auto"/>
                        <w:bottom w:val="none" w:sz="0" w:space="0" w:color="auto"/>
                        <w:right w:val="none" w:sz="0" w:space="0" w:color="auto"/>
                      </w:divBdr>
                    </w:div>
                  </w:divsChild>
                </w:div>
                <w:div w:id="735204521">
                  <w:marLeft w:val="0"/>
                  <w:marRight w:val="0"/>
                  <w:marTop w:val="0"/>
                  <w:marBottom w:val="0"/>
                  <w:divBdr>
                    <w:top w:val="none" w:sz="0" w:space="0" w:color="auto"/>
                    <w:left w:val="none" w:sz="0" w:space="0" w:color="auto"/>
                    <w:bottom w:val="none" w:sz="0" w:space="0" w:color="auto"/>
                    <w:right w:val="none" w:sz="0" w:space="0" w:color="auto"/>
                  </w:divBdr>
                  <w:divsChild>
                    <w:div w:id="1668942499">
                      <w:marLeft w:val="0"/>
                      <w:marRight w:val="0"/>
                      <w:marTop w:val="0"/>
                      <w:marBottom w:val="0"/>
                      <w:divBdr>
                        <w:top w:val="none" w:sz="0" w:space="0" w:color="auto"/>
                        <w:left w:val="none" w:sz="0" w:space="0" w:color="auto"/>
                        <w:bottom w:val="none" w:sz="0" w:space="0" w:color="auto"/>
                        <w:right w:val="none" w:sz="0" w:space="0" w:color="auto"/>
                      </w:divBdr>
                    </w:div>
                  </w:divsChild>
                </w:div>
                <w:div w:id="825171594">
                  <w:marLeft w:val="0"/>
                  <w:marRight w:val="0"/>
                  <w:marTop w:val="0"/>
                  <w:marBottom w:val="0"/>
                  <w:divBdr>
                    <w:top w:val="none" w:sz="0" w:space="0" w:color="auto"/>
                    <w:left w:val="none" w:sz="0" w:space="0" w:color="auto"/>
                    <w:bottom w:val="none" w:sz="0" w:space="0" w:color="auto"/>
                    <w:right w:val="none" w:sz="0" w:space="0" w:color="auto"/>
                  </w:divBdr>
                  <w:divsChild>
                    <w:div w:id="1592426469">
                      <w:marLeft w:val="0"/>
                      <w:marRight w:val="0"/>
                      <w:marTop w:val="0"/>
                      <w:marBottom w:val="0"/>
                      <w:divBdr>
                        <w:top w:val="none" w:sz="0" w:space="0" w:color="auto"/>
                        <w:left w:val="none" w:sz="0" w:space="0" w:color="auto"/>
                        <w:bottom w:val="none" w:sz="0" w:space="0" w:color="auto"/>
                        <w:right w:val="none" w:sz="0" w:space="0" w:color="auto"/>
                      </w:divBdr>
                    </w:div>
                  </w:divsChild>
                </w:div>
                <w:div w:id="935672310">
                  <w:marLeft w:val="0"/>
                  <w:marRight w:val="0"/>
                  <w:marTop w:val="0"/>
                  <w:marBottom w:val="0"/>
                  <w:divBdr>
                    <w:top w:val="none" w:sz="0" w:space="0" w:color="auto"/>
                    <w:left w:val="none" w:sz="0" w:space="0" w:color="auto"/>
                    <w:bottom w:val="none" w:sz="0" w:space="0" w:color="auto"/>
                    <w:right w:val="none" w:sz="0" w:space="0" w:color="auto"/>
                  </w:divBdr>
                  <w:divsChild>
                    <w:div w:id="1779375474">
                      <w:marLeft w:val="0"/>
                      <w:marRight w:val="0"/>
                      <w:marTop w:val="0"/>
                      <w:marBottom w:val="0"/>
                      <w:divBdr>
                        <w:top w:val="none" w:sz="0" w:space="0" w:color="auto"/>
                        <w:left w:val="none" w:sz="0" w:space="0" w:color="auto"/>
                        <w:bottom w:val="none" w:sz="0" w:space="0" w:color="auto"/>
                        <w:right w:val="none" w:sz="0" w:space="0" w:color="auto"/>
                      </w:divBdr>
                    </w:div>
                  </w:divsChild>
                </w:div>
                <w:div w:id="977225954">
                  <w:marLeft w:val="0"/>
                  <w:marRight w:val="0"/>
                  <w:marTop w:val="0"/>
                  <w:marBottom w:val="0"/>
                  <w:divBdr>
                    <w:top w:val="none" w:sz="0" w:space="0" w:color="auto"/>
                    <w:left w:val="none" w:sz="0" w:space="0" w:color="auto"/>
                    <w:bottom w:val="none" w:sz="0" w:space="0" w:color="auto"/>
                    <w:right w:val="none" w:sz="0" w:space="0" w:color="auto"/>
                  </w:divBdr>
                  <w:divsChild>
                    <w:div w:id="264727851">
                      <w:marLeft w:val="0"/>
                      <w:marRight w:val="0"/>
                      <w:marTop w:val="0"/>
                      <w:marBottom w:val="0"/>
                      <w:divBdr>
                        <w:top w:val="none" w:sz="0" w:space="0" w:color="auto"/>
                        <w:left w:val="none" w:sz="0" w:space="0" w:color="auto"/>
                        <w:bottom w:val="none" w:sz="0" w:space="0" w:color="auto"/>
                        <w:right w:val="none" w:sz="0" w:space="0" w:color="auto"/>
                      </w:divBdr>
                    </w:div>
                  </w:divsChild>
                </w:div>
                <w:div w:id="984235762">
                  <w:marLeft w:val="0"/>
                  <w:marRight w:val="0"/>
                  <w:marTop w:val="0"/>
                  <w:marBottom w:val="0"/>
                  <w:divBdr>
                    <w:top w:val="none" w:sz="0" w:space="0" w:color="auto"/>
                    <w:left w:val="none" w:sz="0" w:space="0" w:color="auto"/>
                    <w:bottom w:val="none" w:sz="0" w:space="0" w:color="auto"/>
                    <w:right w:val="none" w:sz="0" w:space="0" w:color="auto"/>
                  </w:divBdr>
                  <w:divsChild>
                    <w:div w:id="1026180266">
                      <w:marLeft w:val="0"/>
                      <w:marRight w:val="0"/>
                      <w:marTop w:val="0"/>
                      <w:marBottom w:val="0"/>
                      <w:divBdr>
                        <w:top w:val="none" w:sz="0" w:space="0" w:color="auto"/>
                        <w:left w:val="none" w:sz="0" w:space="0" w:color="auto"/>
                        <w:bottom w:val="none" w:sz="0" w:space="0" w:color="auto"/>
                        <w:right w:val="none" w:sz="0" w:space="0" w:color="auto"/>
                      </w:divBdr>
                    </w:div>
                  </w:divsChild>
                </w:div>
                <w:div w:id="1040277747">
                  <w:marLeft w:val="0"/>
                  <w:marRight w:val="0"/>
                  <w:marTop w:val="0"/>
                  <w:marBottom w:val="0"/>
                  <w:divBdr>
                    <w:top w:val="none" w:sz="0" w:space="0" w:color="auto"/>
                    <w:left w:val="none" w:sz="0" w:space="0" w:color="auto"/>
                    <w:bottom w:val="none" w:sz="0" w:space="0" w:color="auto"/>
                    <w:right w:val="none" w:sz="0" w:space="0" w:color="auto"/>
                  </w:divBdr>
                  <w:divsChild>
                    <w:div w:id="1495612068">
                      <w:marLeft w:val="0"/>
                      <w:marRight w:val="0"/>
                      <w:marTop w:val="0"/>
                      <w:marBottom w:val="0"/>
                      <w:divBdr>
                        <w:top w:val="none" w:sz="0" w:space="0" w:color="auto"/>
                        <w:left w:val="none" w:sz="0" w:space="0" w:color="auto"/>
                        <w:bottom w:val="none" w:sz="0" w:space="0" w:color="auto"/>
                        <w:right w:val="none" w:sz="0" w:space="0" w:color="auto"/>
                      </w:divBdr>
                    </w:div>
                  </w:divsChild>
                </w:div>
                <w:div w:id="1082680920">
                  <w:marLeft w:val="0"/>
                  <w:marRight w:val="0"/>
                  <w:marTop w:val="0"/>
                  <w:marBottom w:val="0"/>
                  <w:divBdr>
                    <w:top w:val="none" w:sz="0" w:space="0" w:color="auto"/>
                    <w:left w:val="none" w:sz="0" w:space="0" w:color="auto"/>
                    <w:bottom w:val="none" w:sz="0" w:space="0" w:color="auto"/>
                    <w:right w:val="none" w:sz="0" w:space="0" w:color="auto"/>
                  </w:divBdr>
                  <w:divsChild>
                    <w:div w:id="573977565">
                      <w:marLeft w:val="0"/>
                      <w:marRight w:val="0"/>
                      <w:marTop w:val="0"/>
                      <w:marBottom w:val="0"/>
                      <w:divBdr>
                        <w:top w:val="none" w:sz="0" w:space="0" w:color="auto"/>
                        <w:left w:val="none" w:sz="0" w:space="0" w:color="auto"/>
                        <w:bottom w:val="none" w:sz="0" w:space="0" w:color="auto"/>
                        <w:right w:val="none" w:sz="0" w:space="0" w:color="auto"/>
                      </w:divBdr>
                    </w:div>
                  </w:divsChild>
                </w:div>
                <w:div w:id="1443065565">
                  <w:marLeft w:val="0"/>
                  <w:marRight w:val="0"/>
                  <w:marTop w:val="0"/>
                  <w:marBottom w:val="0"/>
                  <w:divBdr>
                    <w:top w:val="none" w:sz="0" w:space="0" w:color="auto"/>
                    <w:left w:val="none" w:sz="0" w:space="0" w:color="auto"/>
                    <w:bottom w:val="none" w:sz="0" w:space="0" w:color="auto"/>
                    <w:right w:val="none" w:sz="0" w:space="0" w:color="auto"/>
                  </w:divBdr>
                  <w:divsChild>
                    <w:div w:id="1008756161">
                      <w:marLeft w:val="0"/>
                      <w:marRight w:val="0"/>
                      <w:marTop w:val="0"/>
                      <w:marBottom w:val="0"/>
                      <w:divBdr>
                        <w:top w:val="none" w:sz="0" w:space="0" w:color="auto"/>
                        <w:left w:val="none" w:sz="0" w:space="0" w:color="auto"/>
                        <w:bottom w:val="none" w:sz="0" w:space="0" w:color="auto"/>
                        <w:right w:val="none" w:sz="0" w:space="0" w:color="auto"/>
                      </w:divBdr>
                    </w:div>
                  </w:divsChild>
                </w:div>
                <w:div w:id="1464271897">
                  <w:marLeft w:val="0"/>
                  <w:marRight w:val="0"/>
                  <w:marTop w:val="0"/>
                  <w:marBottom w:val="0"/>
                  <w:divBdr>
                    <w:top w:val="none" w:sz="0" w:space="0" w:color="auto"/>
                    <w:left w:val="none" w:sz="0" w:space="0" w:color="auto"/>
                    <w:bottom w:val="none" w:sz="0" w:space="0" w:color="auto"/>
                    <w:right w:val="none" w:sz="0" w:space="0" w:color="auto"/>
                  </w:divBdr>
                  <w:divsChild>
                    <w:div w:id="92825279">
                      <w:marLeft w:val="0"/>
                      <w:marRight w:val="0"/>
                      <w:marTop w:val="0"/>
                      <w:marBottom w:val="0"/>
                      <w:divBdr>
                        <w:top w:val="none" w:sz="0" w:space="0" w:color="auto"/>
                        <w:left w:val="none" w:sz="0" w:space="0" w:color="auto"/>
                        <w:bottom w:val="none" w:sz="0" w:space="0" w:color="auto"/>
                        <w:right w:val="none" w:sz="0" w:space="0" w:color="auto"/>
                      </w:divBdr>
                    </w:div>
                  </w:divsChild>
                </w:div>
                <w:div w:id="1568881959">
                  <w:marLeft w:val="0"/>
                  <w:marRight w:val="0"/>
                  <w:marTop w:val="0"/>
                  <w:marBottom w:val="0"/>
                  <w:divBdr>
                    <w:top w:val="none" w:sz="0" w:space="0" w:color="auto"/>
                    <w:left w:val="none" w:sz="0" w:space="0" w:color="auto"/>
                    <w:bottom w:val="none" w:sz="0" w:space="0" w:color="auto"/>
                    <w:right w:val="none" w:sz="0" w:space="0" w:color="auto"/>
                  </w:divBdr>
                  <w:divsChild>
                    <w:div w:id="1930117223">
                      <w:marLeft w:val="0"/>
                      <w:marRight w:val="0"/>
                      <w:marTop w:val="0"/>
                      <w:marBottom w:val="0"/>
                      <w:divBdr>
                        <w:top w:val="none" w:sz="0" w:space="0" w:color="auto"/>
                        <w:left w:val="none" w:sz="0" w:space="0" w:color="auto"/>
                        <w:bottom w:val="none" w:sz="0" w:space="0" w:color="auto"/>
                        <w:right w:val="none" w:sz="0" w:space="0" w:color="auto"/>
                      </w:divBdr>
                    </w:div>
                  </w:divsChild>
                </w:div>
                <w:div w:id="1606842702">
                  <w:marLeft w:val="0"/>
                  <w:marRight w:val="0"/>
                  <w:marTop w:val="0"/>
                  <w:marBottom w:val="0"/>
                  <w:divBdr>
                    <w:top w:val="none" w:sz="0" w:space="0" w:color="auto"/>
                    <w:left w:val="none" w:sz="0" w:space="0" w:color="auto"/>
                    <w:bottom w:val="none" w:sz="0" w:space="0" w:color="auto"/>
                    <w:right w:val="none" w:sz="0" w:space="0" w:color="auto"/>
                  </w:divBdr>
                  <w:divsChild>
                    <w:div w:id="732966521">
                      <w:marLeft w:val="0"/>
                      <w:marRight w:val="0"/>
                      <w:marTop w:val="0"/>
                      <w:marBottom w:val="0"/>
                      <w:divBdr>
                        <w:top w:val="none" w:sz="0" w:space="0" w:color="auto"/>
                        <w:left w:val="none" w:sz="0" w:space="0" w:color="auto"/>
                        <w:bottom w:val="none" w:sz="0" w:space="0" w:color="auto"/>
                        <w:right w:val="none" w:sz="0" w:space="0" w:color="auto"/>
                      </w:divBdr>
                    </w:div>
                  </w:divsChild>
                </w:div>
                <w:div w:id="1798521023">
                  <w:marLeft w:val="0"/>
                  <w:marRight w:val="0"/>
                  <w:marTop w:val="0"/>
                  <w:marBottom w:val="0"/>
                  <w:divBdr>
                    <w:top w:val="none" w:sz="0" w:space="0" w:color="auto"/>
                    <w:left w:val="none" w:sz="0" w:space="0" w:color="auto"/>
                    <w:bottom w:val="none" w:sz="0" w:space="0" w:color="auto"/>
                    <w:right w:val="none" w:sz="0" w:space="0" w:color="auto"/>
                  </w:divBdr>
                  <w:divsChild>
                    <w:div w:id="2140955267">
                      <w:marLeft w:val="0"/>
                      <w:marRight w:val="0"/>
                      <w:marTop w:val="0"/>
                      <w:marBottom w:val="0"/>
                      <w:divBdr>
                        <w:top w:val="none" w:sz="0" w:space="0" w:color="auto"/>
                        <w:left w:val="none" w:sz="0" w:space="0" w:color="auto"/>
                        <w:bottom w:val="none" w:sz="0" w:space="0" w:color="auto"/>
                        <w:right w:val="none" w:sz="0" w:space="0" w:color="auto"/>
                      </w:divBdr>
                    </w:div>
                  </w:divsChild>
                </w:div>
                <w:div w:id="1818835873">
                  <w:marLeft w:val="0"/>
                  <w:marRight w:val="0"/>
                  <w:marTop w:val="0"/>
                  <w:marBottom w:val="0"/>
                  <w:divBdr>
                    <w:top w:val="none" w:sz="0" w:space="0" w:color="auto"/>
                    <w:left w:val="none" w:sz="0" w:space="0" w:color="auto"/>
                    <w:bottom w:val="none" w:sz="0" w:space="0" w:color="auto"/>
                    <w:right w:val="none" w:sz="0" w:space="0" w:color="auto"/>
                  </w:divBdr>
                  <w:divsChild>
                    <w:div w:id="411044864">
                      <w:marLeft w:val="0"/>
                      <w:marRight w:val="0"/>
                      <w:marTop w:val="0"/>
                      <w:marBottom w:val="0"/>
                      <w:divBdr>
                        <w:top w:val="none" w:sz="0" w:space="0" w:color="auto"/>
                        <w:left w:val="none" w:sz="0" w:space="0" w:color="auto"/>
                        <w:bottom w:val="none" w:sz="0" w:space="0" w:color="auto"/>
                        <w:right w:val="none" w:sz="0" w:space="0" w:color="auto"/>
                      </w:divBdr>
                    </w:div>
                  </w:divsChild>
                </w:div>
                <w:div w:id="2079740518">
                  <w:marLeft w:val="0"/>
                  <w:marRight w:val="0"/>
                  <w:marTop w:val="0"/>
                  <w:marBottom w:val="0"/>
                  <w:divBdr>
                    <w:top w:val="none" w:sz="0" w:space="0" w:color="auto"/>
                    <w:left w:val="none" w:sz="0" w:space="0" w:color="auto"/>
                    <w:bottom w:val="none" w:sz="0" w:space="0" w:color="auto"/>
                    <w:right w:val="none" w:sz="0" w:space="0" w:color="auto"/>
                  </w:divBdr>
                  <w:divsChild>
                    <w:div w:id="15207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3216">
          <w:marLeft w:val="0"/>
          <w:marRight w:val="0"/>
          <w:marTop w:val="0"/>
          <w:marBottom w:val="0"/>
          <w:divBdr>
            <w:top w:val="none" w:sz="0" w:space="0" w:color="auto"/>
            <w:left w:val="none" w:sz="0" w:space="0" w:color="auto"/>
            <w:bottom w:val="none" w:sz="0" w:space="0" w:color="auto"/>
            <w:right w:val="none" w:sz="0" w:space="0" w:color="auto"/>
          </w:divBdr>
        </w:div>
        <w:div w:id="503321513">
          <w:marLeft w:val="0"/>
          <w:marRight w:val="0"/>
          <w:marTop w:val="0"/>
          <w:marBottom w:val="0"/>
          <w:divBdr>
            <w:top w:val="none" w:sz="0" w:space="0" w:color="auto"/>
            <w:left w:val="none" w:sz="0" w:space="0" w:color="auto"/>
            <w:bottom w:val="none" w:sz="0" w:space="0" w:color="auto"/>
            <w:right w:val="none" w:sz="0" w:space="0" w:color="auto"/>
          </w:divBdr>
        </w:div>
        <w:div w:id="1126043839">
          <w:marLeft w:val="0"/>
          <w:marRight w:val="0"/>
          <w:marTop w:val="0"/>
          <w:marBottom w:val="0"/>
          <w:divBdr>
            <w:top w:val="none" w:sz="0" w:space="0" w:color="auto"/>
            <w:left w:val="none" w:sz="0" w:space="0" w:color="auto"/>
            <w:bottom w:val="none" w:sz="0" w:space="0" w:color="auto"/>
            <w:right w:val="none" w:sz="0" w:space="0" w:color="auto"/>
          </w:divBdr>
        </w:div>
        <w:div w:id="1191145341">
          <w:marLeft w:val="0"/>
          <w:marRight w:val="0"/>
          <w:marTop w:val="0"/>
          <w:marBottom w:val="0"/>
          <w:divBdr>
            <w:top w:val="none" w:sz="0" w:space="0" w:color="auto"/>
            <w:left w:val="none" w:sz="0" w:space="0" w:color="auto"/>
            <w:bottom w:val="none" w:sz="0" w:space="0" w:color="auto"/>
            <w:right w:val="none" w:sz="0" w:space="0" w:color="auto"/>
          </w:divBdr>
        </w:div>
        <w:div w:id="1303661056">
          <w:marLeft w:val="0"/>
          <w:marRight w:val="0"/>
          <w:marTop w:val="0"/>
          <w:marBottom w:val="0"/>
          <w:divBdr>
            <w:top w:val="none" w:sz="0" w:space="0" w:color="auto"/>
            <w:left w:val="none" w:sz="0" w:space="0" w:color="auto"/>
            <w:bottom w:val="none" w:sz="0" w:space="0" w:color="auto"/>
            <w:right w:val="none" w:sz="0" w:space="0" w:color="auto"/>
          </w:divBdr>
        </w:div>
        <w:div w:id="1594363944">
          <w:marLeft w:val="0"/>
          <w:marRight w:val="0"/>
          <w:marTop w:val="0"/>
          <w:marBottom w:val="0"/>
          <w:divBdr>
            <w:top w:val="none" w:sz="0" w:space="0" w:color="auto"/>
            <w:left w:val="none" w:sz="0" w:space="0" w:color="auto"/>
            <w:bottom w:val="none" w:sz="0" w:space="0" w:color="auto"/>
            <w:right w:val="none" w:sz="0" w:space="0" w:color="auto"/>
          </w:divBdr>
        </w:div>
        <w:div w:id="1683161544">
          <w:marLeft w:val="0"/>
          <w:marRight w:val="0"/>
          <w:marTop w:val="0"/>
          <w:marBottom w:val="0"/>
          <w:divBdr>
            <w:top w:val="none" w:sz="0" w:space="0" w:color="auto"/>
            <w:left w:val="none" w:sz="0" w:space="0" w:color="auto"/>
            <w:bottom w:val="none" w:sz="0" w:space="0" w:color="auto"/>
            <w:right w:val="none" w:sz="0" w:space="0" w:color="auto"/>
          </w:divBdr>
        </w:div>
        <w:div w:id="1922592761">
          <w:marLeft w:val="0"/>
          <w:marRight w:val="0"/>
          <w:marTop w:val="0"/>
          <w:marBottom w:val="0"/>
          <w:divBdr>
            <w:top w:val="none" w:sz="0" w:space="0" w:color="auto"/>
            <w:left w:val="none" w:sz="0" w:space="0" w:color="auto"/>
            <w:bottom w:val="none" w:sz="0" w:space="0" w:color="auto"/>
            <w:right w:val="none" w:sz="0" w:space="0" w:color="auto"/>
          </w:divBdr>
          <w:divsChild>
            <w:div w:id="215121401">
              <w:marLeft w:val="0"/>
              <w:marRight w:val="0"/>
              <w:marTop w:val="30"/>
              <w:marBottom w:val="30"/>
              <w:divBdr>
                <w:top w:val="none" w:sz="0" w:space="0" w:color="auto"/>
                <w:left w:val="none" w:sz="0" w:space="0" w:color="auto"/>
                <w:bottom w:val="none" w:sz="0" w:space="0" w:color="auto"/>
                <w:right w:val="none" w:sz="0" w:space="0" w:color="auto"/>
              </w:divBdr>
              <w:divsChild>
                <w:div w:id="77143159">
                  <w:marLeft w:val="0"/>
                  <w:marRight w:val="0"/>
                  <w:marTop w:val="0"/>
                  <w:marBottom w:val="0"/>
                  <w:divBdr>
                    <w:top w:val="none" w:sz="0" w:space="0" w:color="auto"/>
                    <w:left w:val="none" w:sz="0" w:space="0" w:color="auto"/>
                    <w:bottom w:val="none" w:sz="0" w:space="0" w:color="auto"/>
                    <w:right w:val="none" w:sz="0" w:space="0" w:color="auto"/>
                  </w:divBdr>
                  <w:divsChild>
                    <w:div w:id="2050492190">
                      <w:marLeft w:val="0"/>
                      <w:marRight w:val="0"/>
                      <w:marTop w:val="0"/>
                      <w:marBottom w:val="0"/>
                      <w:divBdr>
                        <w:top w:val="none" w:sz="0" w:space="0" w:color="auto"/>
                        <w:left w:val="none" w:sz="0" w:space="0" w:color="auto"/>
                        <w:bottom w:val="none" w:sz="0" w:space="0" w:color="auto"/>
                        <w:right w:val="none" w:sz="0" w:space="0" w:color="auto"/>
                      </w:divBdr>
                    </w:div>
                  </w:divsChild>
                </w:div>
                <w:div w:id="247691960">
                  <w:marLeft w:val="0"/>
                  <w:marRight w:val="0"/>
                  <w:marTop w:val="0"/>
                  <w:marBottom w:val="0"/>
                  <w:divBdr>
                    <w:top w:val="none" w:sz="0" w:space="0" w:color="auto"/>
                    <w:left w:val="none" w:sz="0" w:space="0" w:color="auto"/>
                    <w:bottom w:val="none" w:sz="0" w:space="0" w:color="auto"/>
                    <w:right w:val="none" w:sz="0" w:space="0" w:color="auto"/>
                  </w:divBdr>
                  <w:divsChild>
                    <w:div w:id="570426672">
                      <w:marLeft w:val="0"/>
                      <w:marRight w:val="0"/>
                      <w:marTop w:val="0"/>
                      <w:marBottom w:val="0"/>
                      <w:divBdr>
                        <w:top w:val="none" w:sz="0" w:space="0" w:color="auto"/>
                        <w:left w:val="none" w:sz="0" w:space="0" w:color="auto"/>
                        <w:bottom w:val="none" w:sz="0" w:space="0" w:color="auto"/>
                        <w:right w:val="none" w:sz="0" w:space="0" w:color="auto"/>
                      </w:divBdr>
                    </w:div>
                  </w:divsChild>
                </w:div>
                <w:div w:id="260384240">
                  <w:marLeft w:val="0"/>
                  <w:marRight w:val="0"/>
                  <w:marTop w:val="0"/>
                  <w:marBottom w:val="0"/>
                  <w:divBdr>
                    <w:top w:val="none" w:sz="0" w:space="0" w:color="auto"/>
                    <w:left w:val="none" w:sz="0" w:space="0" w:color="auto"/>
                    <w:bottom w:val="none" w:sz="0" w:space="0" w:color="auto"/>
                    <w:right w:val="none" w:sz="0" w:space="0" w:color="auto"/>
                  </w:divBdr>
                  <w:divsChild>
                    <w:div w:id="880678063">
                      <w:marLeft w:val="0"/>
                      <w:marRight w:val="0"/>
                      <w:marTop w:val="0"/>
                      <w:marBottom w:val="0"/>
                      <w:divBdr>
                        <w:top w:val="none" w:sz="0" w:space="0" w:color="auto"/>
                        <w:left w:val="none" w:sz="0" w:space="0" w:color="auto"/>
                        <w:bottom w:val="none" w:sz="0" w:space="0" w:color="auto"/>
                        <w:right w:val="none" w:sz="0" w:space="0" w:color="auto"/>
                      </w:divBdr>
                    </w:div>
                  </w:divsChild>
                </w:div>
                <w:div w:id="335960534">
                  <w:marLeft w:val="0"/>
                  <w:marRight w:val="0"/>
                  <w:marTop w:val="0"/>
                  <w:marBottom w:val="0"/>
                  <w:divBdr>
                    <w:top w:val="none" w:sz="0" w:space="0" w:color="auto"/>
                    <w:left w:val="none" w:sz="0" w:space="0" w:color="auto"/>
                    <w:bottom w:val="none" w:sz="0" w:space="0" w:color="auto"/>
                    <w:right w:val="none" w:sz="0" w:space="0" w:color="auto"/>
                  </w:divBdr>
                  <w:divsChild>
                    <w:div w:id="1904218073">
                      <w:marLeft w:val="0"/>
                      <w:marRight w:val="0"/>
                      <w:marTop w:val="0"/>
                      <w:marBottom w:val="0"/>
                      <w:divBdr>
                        <w:top w:val="none" w:sz="0" w:space="0" w:color="auto"/>
                        <w:left w:val="none" w:sz="0" w:space="0" w:color="auto"/>
                        <w:bottom w:val="none" w:sz="0" w:space="0" w:color="auto"/>
                        <w:right w:val="none" w:sz="0" w:space="0" w:color="auto"/>
                      </w:divBdr>
                    </w:div>
                  </w:divsChild>
                </w:div>
                <w:div w:id="345330644">
                  <w:marLeft w:val="0"/>
                  <w:marRight w:val="0"/>
                  <w:marTop w:val="0"/>
                  <w:marBottom w:val="0"/>
                  <w:divBdr>
                    <w:top w:val="none" w:sz="0" w:space="0" w:color="auto"/>
                    <w:left w:val="none" w:sz="0" w:space="0" w:color="auto"/>
                    <w:bottom w:val="none" w:sz="0" w:space="0" w:color="auto"/>
                    <w:right w:val="none" w:sz="0" w:space="0" w:color="auto"/>
                  </w:divBdr>
                  <w:divsChild>
                    <w:div w:id="1207370519">
                      <w:marLeft w:val="0"/>
                      <w:marRight w:val="0"/>
                      <w:marTop w:val="0"/>
                      <w:marBottom w:val="0"/>
                      <w:divBdr>
                        <w:top w:val="none" w:sz="0" w:space="0" w:color="auto"/>
                        <w:left w:val="none" w:sz="0" w:space="0" w:color="auto"/>
                        <w:bottom w:val="none" w:sz="0" w:space="0" w:color="auto"/>
                        <w:right w:val="none" w:sz="0" w:space="0" w:color="auto"/>
                      </w:divBdr>
                    </w:div>
                  </w:divsChild>
                </w:div>
                <w:div w:id="419521684">
                  <w:marLeft w:val="0"/>
                  <w:marRight w:val="0"/>
                  <w:marTop w:val="0"/>
                  <w:marBottom w:val="0"/>
                  <w:divBdr>
                    <w:top w:val="none" w:sz="0" w:space="0" w:color="auto"/>
                    <w:left w:val="none" w:sz="0" w:space="0" w:color="auto"/>
                    <w:bottom w:val="none" w:sz="0" w:space="0" w:color="auto"/>
                    <w:right w:val="none" w:sz="0" w:space="0" w:color="auto"/>
                  </w:divBdr>
                  <w:divsChild>
                    <w:div w:id="330450950">
                      <w:marLeft w:val="0"/>
                      <w:marRight w:val="0"/>
                      <w:marTop w:val="0"/>
                      <w:marBottom w:val="0"/>
                      <w:divBdr>
                        <w:top w:val="none" w:sz="0" w:space="0" w:color="auto"/>
                        <w:left w:val="none" w:sz="0" w:space="0" w:color="auto"/>
                        <w:bottom w:val="none" w:sz="0" w:space="0" w:color="auto"/>
                        <w:right w:val="none" w:sz="0" w:space="0" w:color="auto"/>
                      </w:divBdr>
                    </w:div>
                  </w:divsChild>
                </w:div>
                <w:div w:id="443815496">
                  <w:marLeft w:val="0"/>
                  <w:marRight w:val="0"/>
                  <w:marTop w:val="0"/>
                  <w:marBottom w:val="0"/>
                  <w:divBdr>
                    <w:top w:val="none" w:sz="0" w:space="0" w:color="auto"/>
                    <w:left w:val="none" w:sz="0" w:space="0" w:color="auto"/>
                    <w:bottom w:val="none" w:sz="0" w:space="0" w:color="auto"/>
                    <w:right w:val="none" w:sz="0" w:space="0" w:color="auto"/>
                  </w:divBdr>
                  <w:divsChild>
                    <w:div w:id="1304891374">
                      <w:marLeft w:val="0"/>
                      <w:marRight w:val="0"/>
                      <w:marTop w:val="0"/>
                      <w:marBottom w:val="0"/>
                      <w:divBdr>
                        <w:top w:val="none" w:sz="0" w:space="0" w:color="auto"/>
                        <w:left w:val="none" w:sz="0" w:space="0" w:color="auto"/>
                        <w:bottom w:val="none" w:sz="0" w:space="0" w:color="auto"/>
                        <w:right w:val="none" w:sz="0" w:space="0" w:color="auto"/>
                      </w:divBdr>
                    </w:div>
                  </w:divsChild>
                </w:div>
                <w:div w:id="448625335">
                  <w:marLeft w:val="0"/>
                  <w:marRight w:val="0"/>
                  <w:marTop w:val="0"/>
                  <w:marBottom w:val="0"/>
                  <w:divBdr>
                    <w:top w:val="none" w:sz="0" w:space="0" w:color="auto"/>
                    <w:left w:val="none" w:sz="0" w:space="0" w:color="auto"/>
                    <w:bottom w:val="none" w:sz="0" w:space="0" w:color="auto"/>
                    <w:right w:val="none" w:sz="0" w:space="0" w:color="auto"/>
                  </w:divBdr>
                  <w:divsChild>
                    <w:div w:id="1232472112">
                      <w:marLeft w:val="0"/>
                      <w:marRight w:val="0"/>
                      <w:marTop w:val="0"/>
                      <w:marBottom w:val="0"/>
                      <w:divBdr>
                        <w:top w:val="none" w:sz="0" w:space="0" w:color="auto"/>
                        <w:left w:val="none" w:sz="0" w:space="0" w:color="auto"/>
                        <w:bottom w:val="none" w:sz="0" w:space="0" w:color="auto"/>
                        <w:right w:val="none" w:sz="0" w:space="0" w:color="auto"/>
                      </w:divBdr>
                    </w:div>
                  </w:divsChild>
                </w:div>
                <w:div w:id="455607013">
                  <w:marLeft w:val="0"/>
                  <w:marRight w:val="0"/>
                  <w:marTop w:val="0"/>
                  <w:marBottom w:val="0"/>
                  <w:divBdr>
                    <w:top w:val="none" w:sz="0" w:space="0" w:color="auto"/>
                    <w:left w:val="none" w:sz="0" w:space="0" w:color="auto"/>
                    <w:bottom w:val="none" w:sz="0" w:space="0" w:color="auto"/>
                    <w:right w:val="none" w:sz="0" w:space="0" w:color="auto"/>
                  </w:divBdr>
                  <w:divsChild>
                    <w:div w:id="1282878194">
                      <w:marLeft w:val="0"/>
                      <w:marRight w:val="0"/>
                      <w:marTop w:val="0"/>
                      <w:marBottom w:val="0"/>
                      <w:divBdr>
                        <w:top w:val="none" w:sz="0" w:space="0" w:color="auto"/>
                        <w:left w:val="none" w:sz="0" w:space="0" w:color="auto"/>
                        <w:bottom w:val="none" w:sz="0" w:space="0" w:color="auto"/>
                        <w:right w:val="none" w:sz="0" w:space="0" w:color="auto"/>
                      </w:divBdr>
                    </w:div>
                  </w:divsChild>
                </w:div>
                <w:div w:id="489061612">
                  <w:marLeft w:val="0"/>
                  <w:marRight w:val="0"/>
                  <w:marTop w:val="0"/>
                  <w:marBottom w:val="0"/>
                  <w:divBdr>
                    <w:top w:val="none" w:sz="0" w:space="0" w:color="auto"/>
                    <w:left w:val="none" w:sz="0" w:space="0" w:color="auto"/>
                    <w:bottom w:val="none" w:sz="0" w:space="0" w:color="auto"/>
                    <w:right w:val="none" w:sz="0" w:space="0" w:color="auto"/>
                  </w:divBdr>
                  <w:divsChild>
                    <w:div w:id="1613247546">
                      <w:marLeft w:val="0"/>
                      <w:marRight w:val="0"/>
                      <w:marTop w:val="0"/>
                      <w:marBottom w:val="0"/>
                      <w:divBdr>
                        <w:top w:val="none" w:sz="0" w:space="0" w:color="auto"/>
                        <w:left w:val="none" w:sz="0" w:space="0" w:color="auto"/>
                        <w:bottom w:val="none" w:sz="0" w:space="0" w:color="auto"/>
                        <w:right w:val="none" w:sz="0" w:space="0" w:color="auto"/>
                      </w:divBdr>
                    </w:div>
                  </w:divsChild>
                </w:div>
                <w:div w:id="541599976">
                  <w:marLeft w:val="0"/>
                  <w:marRight w:val="0"/>
                  <w:marTop w:val="0"/>
                  <w:marBottom w:val="0"/>
                  <w:divBdr>
                    <w:top w:val="none" w:sz="0" w:space="0" w:color="auto"/>
                    <w:left w:val="none" w:sz="0" w:space="0" w:color="auto"/>
                    <w:bottom w:val="none" w:sz="0" w:space="0" w:color="auto"/>
                    <w:right w:val="none" w:sz="0" w:space="0" w:color="auto"/>
                  </w:divBdr>
                  <w:divsChild>
                    <w:div w:id="408305512">
                      <w:marLeft w:val="0"/>
                      <w:marRight w:val="0"/>
                      <w:marTop w:val="0"/>
                      <w:marBottom w:val="0"/>
                      <w:divBdr>
                        <w:top w:val="none" w:sz="0" w:space="0" w:color="auto"/>
                        <w:left w:val="none" w:sz="0" w:space="0" w:color="auto"/>
                        <w:bottom w:val="none" w:sz="0" w:space="0" w:color="auto"/>
                        <w:right w:val="none" w:sz="0" w:space="0" w:color="auto"/>
                      </w:divBdr>
                    </w:div>
                  </w:divsChild>
                </w:div>
                <w:div w:id="572081310">
                  <w:marLeft w:val="0"/>
                  <w:marRight w:val="0"/>
                  <w:marTop w:val="0"/>
                  <w:marBottom w:val="0"/>
                  <w:divBdr>
                    <w:top w:val="none" w:sz="0" w:space="0" w:color="auto"/>
                    <w:left w:val="none" w:sz="0" w:space="0" w:color="auto"/>
                    <w:bottom w:val="none" w:sz="0" w:space="0" w:color="auto"/>
                    <w:right w:val="none" w:sz="0" w:space="0" w:color="auto"/>
                  </w:divBdr>
                  <w:divsChild>
                    <w:div w:id="1771467802">
                      <w:marLeft w:val="0"/>
                      <w:marRight w:val="0"/>
                      <w:marTop w:val="0"/>
                      <w:marBottom w:val="0"/>
                      <w:divBdr>
                        <w:top w:val="none" w:sz="0" w:space="0" w:color="auto"/>
                        <w:left w:val="none" w:sz="0" w:space="0" w:color="auto"/>
                        <w:bottom w:val="none" w:sz="0" w:space="0" w:color="auto"/>
                        <w:right w:val="none" w:sz="0" w:space="0" w:color="auto"/>
                      </w:divBdr>
                    </w:div>
                  </w:divsChild>
                </w:div>
                <w:div w:id="642929361">
                  <w:marLeft w:val="0"/>
                  <w:marRight w:val="0"/>
                  <w:marTop w:val="0"/>
                  <w:marBottom w:val="0"/>
                  <w:divBdr>
                    <w:top w:val="none" w:sz="0" w:space="0" w:color="auto"/>
                    <w:left w:val="none" w:sz="0" w:space="0" w:color="auto"/>
                    <w:bottom w:val="none" w:sz="0" w:space="0" w:color="auto"/>
                    <w:right w:val="none" w:sz="0" w:space="0" w:color="auto"/>
                  </w:divBdr>
                  <w:divsChild>
                    <w:div w:id="135268130">
                      <w:marLeft w:val="0"/>
                      <w:marRight w:val="0"/>
                      <w:marTop w:val="0"/>
                      <w:marBottom w:val="0"/>
                      <w:divBdr>
                        <w:top w:val="none" w:sz="0" w:space="0" w:color="auto"/>
                        <w:left w:val="none" w:sz="0" w:space="0" w:color="auto"/>
                        <w:bottom w:val="none" w:sz="0" w:space="0" w:color="auto"/>
                        <w:right w:val="none" w:sz="0" w:space="0" w:color="auto"/>
                      </w:divBdr>
                    </w:div>
                  </w:divsChild>
                </w:div>
                <w:div w:id="659432000">
                  <w:marLeft w:val="0"/>
                  <w:marRight w:val="0"/>
                  <w:marTop w:val="0"/>
                  <w:marBottom w:val="0"/>
                  <w:divBdr>
                    <w:top w:val="none" w:sz="0" w:space="0" w:color="auto"/>
                    <w:left w:val="none" w:sz="0" w:space="0" w:color="auto"/>
                    <w:bottom w:val="none" w:sz="0" w:space="0" w:color="auto"/>
                    <w:right w:val="none" w:sz="0" w:space="0" w:color="auto"/>
                  </w:divBdr>
                  <w:divsChild>
                    <w:div w:id="1502501455">
                      <w:marLeft w:val="0"/>
                      <w:marRight w:val="0"/>
                      <w:marTop w:val="0"/>
                      <w:marBottom w:val="0"/>
                      <w:divBdr>
                        <w:top w:val="none" w:sz="0" w:space="0" w:color="auto"/>
                        <w:left w:val="none" w:sz="0" w:space="0" w:color="auto"/>
                        <w:bottom w:val="none" w:sz="0" w:space="0" w:color="auto"/>
                        <w:right w:val="none" w:sz="0" w:space="0" w:color="auto"/>
                      </w:divBdr>
                    </w:div>
                  </w:divsChild>
                </w:div>
                <w:div w:id="836699859">
                  <w:marLeft w:val="0"/>
                  <w:marRight w:val="0"/>
                  <w:marTop w:val="0"/>
                  <w:marBottom w:val="0"/>
                  <w:divBdr>
                    <w:top w:val="none" w:sz="0" w:space="0" w:color="auto"/>
                    <w:left w:val="none" w:sz="0" w:space="0" w:color="auto"/>
                    <w:bottom w:val="none" w:sz="0" w:space="0" w:color="auto"/>
                    <w:right w:val="none" w:sz="0" w:space="0" w:color="auto"/>
                  </w:divBdr>
                  <w:divsChild>
                    <w:div w:id="1845705036">
                      <w:marLeft w:val="0"/>
                      <w:marRight w:val="0"/>
                      <w:marTop w:val="0"/>
                      <w:marBottom w:val="0"/>
                      <w:divBdr>
                        <w:top w:val="none" w:sz="0" w:space="0" w:color="auto"/>
                        <w:left w:val="none" w:sz="0" w:space="0" w:color="auto"/>
                        <w:bottom w:val="none" w:sz="0" w:space="0" w:color="auto"/>
                        <w:right w:val="none" w:sz="0" w:space="0" w:color="auto"/>
                      </w:divBdr>
                    </w:div>
                  </w:divsChild>
                </w:div>
                <w:div w:id="962733607">
                  <w:marLeft w:val="0"/>
                  <w:marRight w:val="0"/>
                  <w:marTop w:val="0"/>
                  <w:marBottom w:val="0"/>
                  <w:divBdr>
                    <w:top w:val="none" w:sz="0" w:space="0" w:color="auto"/>
                    <w:left w:val="none" w:sz="0" w:space="0" w:color="auto"/>
                    <w:bottom w:val="none" w:sz="0" w:space="0" w:color="auto"/>
                    <w:right w:val="none" w:sz="0" w:space="0" w:color="auto"/>
                  </w:divBdr>
                  <w:divsChild>
                    <w:div w:id="1964262860">
                      <w:marLeft w:val="0"/>
                      <w:marRight w:val="0"/>
                      <w:marTop w:val="0"/>
                      <w:marBottom w:val="0"/>
                      <w:divBdr>
                        <w:top w:val="none" w:sz="0" w:space="0" w:color="auto"/>
                        <w:left w:val="none" w:sz="0" w:space="0" w:color="auto"/>
                        <w:bottom w:val="none" w:sz="0" w:space="0" w:color="auto"/>
                        <w:right w:val="none" w:sz="0" w:space="0" w:color="auto"/>
                      </w:divBdr>
                    </w:div>
                  </w:divsChild>
                </w:div>
                <w:div w:id="1048913709">
                  <w:marLeft w:val="0"/>
                  <w:marRight w:val="0"/>
                  <w:marTop w:val="0"/>
                  <w:marBottom w:val="0"/>
                  <w:divBdr>
                    <w:top w:val="none" w:sz="0" w:space="0" w:color="auto"/>
                    <w:left w:val="none" w:sz="0" w:space="0" w:color="auto"/>
                    <w:bottom w:val="none" w:sz="0" w:space="0" w:color="auto"/>
                    <w:right w:val="none" w:sz="0" w:space="0" w:color="auto"/>
                  </w:divBdr>
                  <w:divsChild>
                    <w:div w:id="652678724">
                      <w:marLeft w:val="0"/>
                      <w:marRight w:val="0"/>
                      <w:marTop w:val="0"/>
                      <w:marBottom w:val="0"/>
                      <w:divBdr>
                        <w:top w:val="none" w:sz="0" w:space="0" w:color="auto"/>
                        <w:left w:val="none" w:sz="0" w:space="0" w:color="auto"/>
                        <w:bottom w:val="none" w:sz="0" w:space="0" w:color="auto"/>
                        <w:right w:val="none" w:sz="0" w:space="0" w:color="auto"/>
                      </w:divBdr>
                    </w:div>
                  </w:divsChild>
                </w:div>
                <w:div w:id="1063026526">
                  <w:marLeft w:val="0"/>
                  <w:marRight w:val="0"/>
                  <w:marTop w:val="0"/>
                  <w:marBottom w:val="0"/>
                  <w:divBdr>
                    <w:top w:val="none" w:sz="0" w:space="0" w:color="auto"/>
                    <w:left w:val="none" w:sz="0" w:space="0" w:color="auto"/>
                    <w:bottom w:val="none" w:sz="0" w:space="0" w:color="auto"/>
                    <w:right w:val="none" w:sz="0" w:space="0" w:color="auto"/>
                  </w:divBdr>
                  <w:divsChild>
                    <w:div w:id="1704820700">
                      <w:marLeft w:val="0"/>
                      <w:marRight w:val="0"/>
                      <w:marTop w:val="0"/>
                      <w:marBottom w:val="0"/>
                      <w:divBdr>
                        <w:top w:val="none" w:sz="0" w:space="0" w:color="auto"/>
                        <w:left w:val="none" w:sz="0" w:space="0" w:color="auto"/>
                        <w:bottom w:val="none" w:sz="0" w:space="0" w:color="auto"/>
                        <w:right w:val="none" w:sz="0" w:space="0" w:color="auto"/>
                      </w:divBdr>
                    </w:div>
                  </w:divsChild>
                </w:div>
                <w:div w:id="1090157253">
                  <w:marLeft w:val="0"/>
                  <w:marRight w:val="0"/>
                  <w:marTop w:val="0"/>
                  <w:marBottom w:val="0"/>
                  <w:divBdr>
                    <w:top w:val="none" w:sz="0" w:space="0" w:color="auto"/>
                    <w:left w:val="none" w:sz="0" w:space="0" w:color="auto"/>
                    <w:bottom w:val="none" w:sz="0" w:space="0" w:color="auto"/>
                    <w:right w:val="none" w:sz="0" w:space="0" w:color="auto"/>
                  </w:divBdr>
                  <w:divsChild>
                    <w:div w:id="477454181">
                      <w:marLeft w:val="0"/>
                      <w:marRight w:val="0"/>
                      <w:marTop w:val="0"/>
                      <w:marBottom w:val="0"/>
                      <w:divBdr>
                        <w:top w:val="none" w:sz="0" w:space="0" w:color="auto"/>
                        <w:left w:val="none" w:sz="0" w:space="0" w:color="auto"/>
                        <w:bottom w:val="none" w:sz="0" w:space="0" w:color="auto"/>
                        <w:right w:val="none" w:sz="0" w:space="0" w:color="auto"/>
                      </w:divBdr>
                    </w:div>
                  </w:divsChild>
                </w:div>
                <w:div w:id="1152059447">
                  <w:marLeft w:val="0"/>
                  <w:marRight w:val="0"/>
                  <w:marTop w:val="0"/>
                  <w:marBottom w:val="0"/>
                  <w:divBdr>
                    <w:top w:val="none" w:sz="0" w:space="0" w:color="auto"/>
                    <w:left w:val="none" w:sz="0" w:space="0" w:color="auto"/>
                    <w:bottom w:val="none" w:sz="0" w:space="0" w:color="auto"/>
                    <w:right w:val="none" w:sz="0" w:space="0" w:color="auto"/>
                  </w:divBdr>
                  <w:divsChild>
                    <w:div w:id="1593854112">
                      <w:marLeft w:val="0"/>
                      <w:marRight w:val="0"/>
                      <w:marTop w:val="0"/>
                      <w:marBottom w:val="0"/>
                      <w:divBdr>
                        <w:top w:val="none" w:sz="0" w:space="0" w:color="auto"/>
                        <w:left w:val="none" w:sz="0" w:space="0" w:color="auto"/>
                        <w:bottom w:val="none" w:sz="0" w:space="0" w:color="auto"/>
                        <w:right w:val="none" w:sz="0" w:space="0" w:color="auto"/>
                      </w:divBdr>
                    </w:div>
                  </w:divsChild>
                </w:div>
                <w:div w:id="1155486831">
                  <w:marLeft w:val="0"/>
                  <w:marRight w:val="0"/>
                  <w:marTop w:val="0"/>
                  <w:marBottom w:val="0"/>
                  <w:divBdr>
                    <w:top w:val="none" w:sz="0" w:space="0" w:color="auto"/>
                    <w:left w:val="none" w:sz="0" w:space="0" w:color="auto"/>
                    <w:bottom w:val="none" w:sz="0" w:space="0" w:color="auto"/>
                    <w:right w:val="none" w:sz="0" w:space="0" w:color="auto"/>
                  </w:divBdr>
                  <w:divsChild>
                    <w:div w:id="71588335">
                      <w:marLeft w:val="0"/>
                      <w:marRight w:val="0"/>
                      <w:marTop w:val="0"/>
                      <w:marBottom w:val="0"/>
                      <w:divBdr>
                        <w:top w:val="none" w:sz="0" w:space="0" w:color="auto"/>
                        <w:left w:val="none" w:sz="0" w:space="0" w:color="auto"/>
                        <w:bottom w:val="none" w:sz="0" w:space="0" w:color="auto"/>
                        <w:right w:val="none" w:sz="0" w:space="0" w:color="auto"/>
                      </w:divBdr>
                    </w:div>
                  </w:divsChild>
                </w:div>
                <w:div w:id="1259022020">
                  <w:marLeft w:val="0"/>
                  <w:marRight w:val="0"/>
                  <w:marTop w:val="0"/>
                  <w:marBottom w:val="0"/>
                  <w:divBdr>
                    <w:top w:val="none" w:sz="0" w:space="0" w:color="auto"/>
                    <w:left w:val="none" w:sz="0" w:space="0" w:color="auto"/>
                    <w:bottom w:val="none" w:sz="0" w:space="0" w:color="auto"/>
                    <w:right w:val="none" w:sz="0" w:space="0" w:color="auto"/>
                  </w:divBdr>
                  <w:divsChild>
                    <w:div w:id="1984918605">
                      <w:marLeft w:val="0"/>
                      <w:marRight w:val="0"/>
                      <w:marTop w:val="0"/>
                      <w:marBottom w:val="0"/>
                      <w:divBdr>
                        <w:top w:val="none" w:sz="0" w:space="0" w:color="auto"/>
                        <w:left w:val="none" w:sz="0" w:space="0" w:color="auto"/>
                        <w:bottom w:val="none" w:sz="0" w:space="0" w:color="auto"/>
                        <w:right w:val="none" w:sz="0" w:space="0" w:color="auto"/>
                      </w:divBdr>
                    </w:div>
                  </w:divsChild>
                </w:div>
                <w:div w:id="1352335669">
                  <w:marLeft w:val="0"/>
                  <w:marRight w:val="0"/>
                  <w:marTop w:val="0"/>
                  <w:marBottom w:val="0"/>
                  <w:divBdr>
                    <w:top w:val="none" w:sz="0" w:space="0" w:color="auto"/>
                    <w:left w:val="none" w:sz="0" w:space="0" w:color="auto"/>
                    <w:bottom w:val="none" w:sz="0" w:space="0" w:color="auto"/>
                    <w:right w:val="none" w:sz="0" w:space="0" w:color="auto"/>
                  </w:divBdr>
                  <w:divsChild>
                    <w:div w:id="925109878">
                      <w:marLeft w:val="0"/>
                      <w:marRight w:val="0"/>
                      <w:marTop w:val="0"/>
                      <w:marBottom w:val="0"/>
                      <w:divBdr>
                        <w:top w:val="none" w:sz="0" w:space="0" w:color="auto"/>
                        <w:left w:val="none" w:sz="0" w:space="0" w:color="auto"/>
                        <w:bottom w:val="none" w:sz="0" w:space="0" w:color="auto"/>
                        <w:right w:val="none" w:sz="0" w:space="0" w:color="auto"/>
                      </w:divBdr>
                    </w:div>
                  </w:divsChild>
                </w:div>
                <w:div w:id="1377393570">
                  <w:marLeft w:val="0"/>
                  <w:marRight w:val="0"/>
                  <w:marTop w:val="0"/>
                  <w:marBottom w:val="0"/>
                  <w:divBdr>
                    <w:top w:val="none" w:sz="0" w:space="0" w:color="auto"/>
                    <w:left w:val="none" w:sz="0" w:space="0" w:color="auto"/>
                    <w:bottom w:val="none" w:sz="0" w:space="0" w:color="auto"/>
                    <w:right w:val="none" w:sz="0" w:space="0" w:color="auto"/>
                  </w:divBdr>
                  <w:divsChild>
                    <w:div w:id="35007099">
                      <w:marLeft w:val="0"/>
                      <w:marRight w:val="0"/>
                      <w:marTop w:val="0"/>
                      <w:marBottom w:val="0"/>
                      <w:divBdr>
                        <w:top w:val="none" w:sz="0" w:space="0" w:color="auto"/>
                        <w:left w:val="none" w:sz="0" w:space="0" w:color="auto"/>
                        <w:bottom w:val="none" w:sz="0" w:space="0" w:color="auto"/>
                        <w:right w:val="none" w:sz="0" w:space="0" w:color="auto"/>
                      </w:divBdr>
                    </w:div>
                  </w:divsChild>
                </w:div>
                <w:div w:id="1421365996">
                  <w:marLeft w:val="0"/>
                  <w:marRight w:val="0"/>
                  <w:marTop w:val="0"/>
                  <w:marBottom w:val="0"/>
                  <w:divBdr>
                    <w:top w:val="none" w:sz="0" w:space="0" w:color="auto"/>
                    <w:left w:val="none" w:sz="0" w:space="0" w:color="auto"/>
                    <w:bottom w:val="none" w:sz="0" w:space="0" w:color="auto"/>
                    <w:right w:val="none" w:sz="0" w:space="0" w:color="auto"/>
                  </w:divBdr>
                  <w:divsChild>
                    <w:div w:id="1739785031">
                      <w:marLeft w:val="0"/>
                      <w:marRight w:val="0"/>
                      <w:marTop w:val="0"/>
                      <w:marBottom w:val="0"/>
                      <w:divBdr>
                        <w:top w:val="none" w:sz="0" w:space="0" w:color="auto"/>
                        <w:left w:val="none" w:sz="0" w:space="0" w:color="auto"/>
                        <w:bottom w:val="none" w:sz="0" w:space="0" w:color="auto"/>
                        <w:right w:val="none" w:sz="0" w:space="0" w:color="auto"/>
                      </w:divBdr>
                    </w:div>
                  </w:divsChild>
                </w:div>
                <w:div w:id="1551068959">
                  <w:marLeft w:val="0"/>
                  <w:marRight w:val="0"/>
                  <w:marTop w:val="0"/>
                  <w:marBottom w:val="0"/>
                  <w:divBdr>
                    <w:top w:val="none" w:sz="0" w:space="0" w:color="auto"/>
                    <w:left w:val="none" w:sz="0" w:space="0" w:color="auto"/>
                    <w:bottom w:val="none" w:sz="0" w:space="0" w:color="auto"/>
                    <w:right w:val="none" w:sz="0" w:space="0" w:color="auto"/>
                  </w:divBdr>
                  <w:divsChild>
                    <w:div w:id="1982614766">
                      <w:marLeft w:val="0"/>
                      <w:marRight w:val="0"/>
                      <w:marTop w:val="0"/>
                      <w:marBottom w:val="0"/>
                      <w:divBdr>
                        <w:top w:val="none" w:sz="0" w:space="0" w:color="auto"/>
                        <w:left w:val="none" w:sz="0" w:space="0" w:color="auto"/>
                        <w:bottom w:val="none" w:sz="0" w:space="0" w:color="auto"/>
                        <w:right w:val="none" w:sz="0" w:space="0" w:color="auto"/>
                      </w:divBdr>
                    </w:div>
                  </w:divsChild>
                </w:div>
                <w:div w:id="1618215830">
                  <w:marLeft w:val="0"/>
                  <w:marRight w:val="0"/>
                  <w:marTop w:val="0"/>
                  <w:marBottom w:val="0"/>
                  <w:divBdr>
                    <w:top w:val="none" w:sz="0" w:space="0" w:color="auto"/>
                    <w:left w:val="none" w:sz="0" w:space="0" w:color="auto"/>
                    <w:bottom w:val="none" w:sz="0" w:space="0" w:color="auto"/>
                    <w:right w:val="none" w:sz="0" w:space="0" w:color="auto"/>
                  </w:divBdr>
                  <w:divsChild>
                    <w:div w:id="1269848797">
                      <w:marLeft w:val="0"/>
                      <w:marRight w:val="0"/>
                      <w:marTop w:val="0"/>
                      <w:marBottom w:val="0"/>
                      <w:divBdr>
                        <w:top w:val="none" w:sz="0" w:space="0" w:color="auto"/>
                        <w:left w:val="none" w:sz="0" w:space="0" w:color="auto"/>
                        <w:bottom w:val="none" w:sz="0" w:space="0" w:color="auto"/>
                        <w:right w:val="none" w:sz="0" w:space="0" w:color="auto"/>
                      </w:divBdr>
                    </w:div>
                  </w:divsChild>
                </w:div>
                <w:div w:id="1630210159">
                  <w:marLeft w:val="0"/>
                  <w:marRight w:val="0"/>
                  <w:marTop w:val="0"/>
                  <w:marBottom w:val="0"/>
                  <w:divBdr>
                    <w:top w:val="none" w:sz="0" w:space="0" w:color="auto"/>
                    <w:left w:val="none" w:sz="0" w:space="0" w:color="auto"/>
                    <w:bottom w:val="none" w:sz="0" w:space="0" w:color="auto"/>
                    <w:right w:val="none" w:sz="0" w:space="0" w:color="auto"/>
                  </w:divBdr>
                  <w:divsChild>
                    <w:div w:id="234359564">
                      <w:marLeft w:val="0"/>
                      <w:marRight w:val="0"/>
                      <w:marTop w:val="0"/>
                      <w:marBottom w:val="0"/>
                      <w:divBdr>
                        <w:top w:val="none" w:sz="0" w:space="0" w:color="auto"/>
                        <w:left w:val="none" w:sz="0" w:space="0" w:color="auto"/>
                        <w:bottom w:val="none" w:sz="0" w:space="0" w:color="auto"/>
                        <w:right w:val="none" w:sz="0" w:space="0" w:color="auto"/>
                      </w:divBdr>
                    </w:div>
                  </w:divsChild>
                </w:div>
                <w:div w:id="1769740815">
                  <w:marLeft w:val="0"/>
                  <w:marRight w:val="0"/>
                  <w:marTop w:val="0"/>
                  <w:marBottom w:val="0"/>
                  <w:divBdr>
                    <w:top w:val="none" w:sz="0" w:space="0" w:color="auto"/>
                    <w:left w:val="none" w:sz="0" w:space="0" w:color="auto"/>
                    <w:bottom w:val="none" w:sz="0" w:space="0" w:color="auto"/>
                    <w:right w:val="none" w:sz="0" w:space="0" w:color="auto"/>
                  </w:divBdr>
                  <w:divsChild>
                    <w:div w:id="609359416">
                      <w:marLeft w:val="0"/>
                      <w:marRight w:val="0"/>
                      <w:marTop w:val="0"/>
                      <w:marBottom w:val="0"/>
                      <w:divBdr>
                        <w:top w:val="none" w:sz="0" w:space="0" w:color="auto"/>
                        <w:left w:val="none" w:sz="0" w:space="0" w:color="auto"/>
                        <w:bottom w:val="none" w:sz="0" w:space="0" w:color="auto"/>
                        <w:right w:val="none" w:sz="0" w:space="0" w:color="auto"/>
                      </w:divBdr>
                    </w:div>
                  </w:divsChild>
                </w:div>
                <w:div w:id="1778332372">
                  <w:marLeft w:val="0"/>
                  <w:marRight w:val="0"/>
                  <w:marTop w:val="0"/>
                  <w:marBottom w:val="0"/>
                  <w:divBdr>
                    <w:top w:val="none" w:sz="0" w:space="0" w:color="auto"/>
                    <w:left w:val="none" w:sz="0" w:space="0" w:color="auto"/>
                    <w:bottom w:val="none" w:sz="0" w:space="0" w:color="auto"/>
                    <w:right w:val="none" w:sz="0" w:space="0" w:color="auto"/>
                  </w:divBdr>
                  <w:divsChild>
                    <w:div w:id="1901282295">
                      <w:marLeft w:val="0"/>
                      <w:marRight w:val="0"/>
                      <w:marTop w:val="0"/>
                      <w:marBottom w:val="0"/>
                      <w:divBdr>
                        <w:top w:val="none" w:sz="0" w:space="0" w:color="auto"/>
                        <w:left w:val="none" w:sz="0" w:space="0" w:color="auto"/>
                        <w:bottom w:val="none" w:sz="0" w:space="0" w:color="auto"/>
                        <w:right w:val="none" w:sz="0" w:space="0" w:color="auto"/>
                      </w:divBdr>
                    </w:div>
                  </w:divsChild>
                </w:div>
                <w:div w:id="1786728451">
                  <w:marLeft w:val="0"/>
                  <w:marRight w:val="0"/>
                  <w:marTop w:val="0"/>
                  <w:marBottom w:val="0"/>
                  <w:divBdr>
                    <w:top w:val="none" w:sz="0" w:space="0" w:color="auto"/>
                    <w:left w:val="none" w:sz="0" w:space="0" w:color="auto"/>
                    <w:bottom w:val="none" w:sz="0" w:space="0" w:color="auto"/>
                    <w:right w:val="none" w:sz="0" w:space="0" w:color="auto"/>
                  </w:divBdr>
                  <w:divsChild>
                    <w:div w:id="430971562">
                      <w:marLeft w:val="0"/>
                      <w:marRight w:val="0"/>
                      <w:marTop w:val="0"/>
                      <w:marBottom w:val="0"/>
                      <w:divBdr>
                        <w:top w:val="none" w:sz="0" w:space="0" w:color="auto"/>
                        <w:left w:val="none" w:sz="0" w:space="0" w:color="auto"/>
                        <w:bottom w:val="none" w:sz="0" w:space="0" w:color="auto"/>
                        <w:right w:val="none" w:sz="0" w:space="0" w:color="auto"/>
                      </w:divBdr>
                    </w:div>
                  </w:divsChild>
                </w:div>
                <w:div w:id="1801995682">
                  <w:marLeft w:val="0"/>
                  <w:marRight w:val="0"/>
                  <w:marTop w:val="0"/>
                  <w:marBottom w:val="0"/>
                  <w:divBdr>
                    <w:top w:val="none" w:sz="0" w:space="0" w:color="auto"/>
                    <w:left w:val="none" w:sz="0" w:space="0" w:color="auto"/>
                    <w:bottom w:val="none" w:sz="0" w:space="0" w:color="auto"/>
                    <w:right w:val="none" w:sz="0" w:space="0" w:color="auto"/>
                  </w:divBdr>
                  <w:divsChild>
                    <w:div w:id="631329127">
                      <w:marLeft w:val="0"/>
                      <w:marRight w:val="0"/>
                      <w:marTop w:val="0"/>
                      <w:marBottom w:val="0"/>
                      <w:divBdr>
                        <w:top w:val="none" w:sz="0" w:space="0" w:color="auto"/>
                        <w:left w:val="none" w:sz="0" w:space="0" w:color="auto"/>
                        <w:bottom w:val="none" w:sz="0" w:space="0" w:color="auto"/>
                        <w:right w:val="none" w:sz="0" w:space="0" w:color="auto"/>
                      </w:divBdr>
                    </w:div>
                  </w:divsChild>
                </w:div>
                <w:div w:id="1830631953">
                  <w:marLeft w:val="0"/>
                  <w:marRight w:val="0"/>
                  <w:marTop w:val="0"/>
                  <w:marBottom w:val="0"/>
                  <w:divBdr>
                    <w:top w:val="none" w:sz="0" w:space="0" w:color="auto"/>
                    <w:left w:val="none" w:sz="0" w:space="0" w:color="auto"/>
                    <w:bottom w:val="none" w:sz="0" w:space="0" w:color="auto"/>
                    <w:right w:val="none" w:sz="0" w:space="0" w:color="auto"/>
                  </w:divBdr>
                  <w:divsChild>
                    <w:div w:id="1672831967">
                      <w:marLeft w:val="0"/>
                      <w:marRight w:val="0"/>
                      <w:marTop w:val="0"/>
                      <w:marBottom w:val="0"/>
                      <w:divBdr>
                        <w:top w:val="none" w:sz="0" w:space="0" w:color="auto"/>
                        <w:left w:val="none" w:sz="0" w:space="0" w:color="auto"/>
                        <w:bottom w:val="none" w:sz="0" w:space="0" w:color="auto"/>
                        <w:right w:val="none" w:sz="0" w:space="0" w:color="auto"/>
                      </w:divBdr>
                    </w:div>
                    <w:div w:id="1974556317">
                      <w:marLeft w:val="0"/>
                      <w:marRight w:val="0"/>
                      <w:marTop w:val="0"/>
                      <w:marBottom w:val="0"/>
                      <w:divBdr>
                        <w:top w:val="none" w:sz="0" w:space="0" w:color="auto"/>
                        <w:left w:val="none" w:sz="0" w:space="0" w:color="auto"/>
                        <w:bottom w:val="none" w:sz="0" w:space="0" w:color="auto"/>
                        <w:right w:val="none" w:sz="0" w:space="0" w:color="auto"/>
                      </w:divBdr>
                    </w:div>
                  </w:divsChild>
                </w:div>
                <w:div w:id="1923030918">
                  <w:marLeft w:val="0"/>
                  <w:marRight w:val="0"/>
                  <w:marTop w:val="0"/>
                  <w:marBottom w:val="0"/>
                  <w:divBdr>
                    <w:top w:val="none" w:sz="0" w:space="0" w:color="auto"/>
                    <w:left w:val="none" w:sz="0" w:space="0" w:color="auto"/>
                    <w:bottom w:val="none" w:sz="0" w:space="0" w:color="auto"/>
                    <w:right w:val="none" w:sz="0" w:space="0" w:color="auto"/>
                  </w:divBdr>
                  <w:divsChild>
                    <w:div w:id="2021082360">
                      <w:marLeft w:val="0"/>
                      <w:marRight w:val="0"/>
                      <w:marTop w:val="0"/>
                      <w:marBottom w:val="0"/>
                      <w:divBdr>
                        <w:top w:val="none" w:sz="0" w:space="0" w:color="auto"/>
                        <w:left w:val="none" w:sz="0" w:space="0" w:color="auto"/>
                        <w:bottom w:val="none" w:sz="0" w:space="0" w:color="auto"/>
                        <w:right w:val="none" w:sz="0" w:space="0" w:color="auto"/>
                      </w:divBdr>
                    </w:div>
                  </w:divsChild>
                </w:div>
                <w:div w:id="1981691641">
                  <w:marLeft w:val="0"/>
                  <w:marRight w:val="0"/>
                  <w:marTop w:val="0"/>
                  <w:marBottom w:val="0"/>
                  <w:divBdr>
                    <w:top w:val="none" w:sz="0" w:space="0" w:color="auto"/>
                    <w:left w:val="none" w:sz="0" w:space="0" w:color="auto"/>
                    <w:bottom w:val="none" w:sz="0" w:space="0" w:color="auto"/>
                    <w:right w:val="none" w:sz="0" w:space="0" w:color="auto"/>
                  </w:divBdr>
                  <w:divsChild>
                    <w:div w:id="266893854">
                      <w:marLeft w:val="0"/>
                      <w:marRight w:val="0"/>
                      <w:marTop w:val="0"/>
                      <w:marBottom w:val="0"/>
                      <w:divBdr>
                        <w:top w:val="none" w:sz="0" w:space="0" w:color="auto"/>
                        <w:left w:val="none" w:sz="0" w:space="0" w:color="auto"/>
                        <w:bottom w:val="none" w:sz="0" w:space="0" w:color="auto"/>
                        <w:right w:val="none" w:sz="0" w:space="0" w:color="auto"/>
                      </w:divBdr>
                    </w:div>
                  </w:divsChild>
                </w:div>
                <w:div w:id="2011592717">
                  <w:marLeft w:val="0"/>
                  <w:marRight w:val="0"/>
                  <w:marTop w:val="0"/>
                  <w:marBottom w:val="0"/>
                  <w:divBdr>
                    <w:top w:val="none" w:sz="0" w:space="0" w:color="auto"/>
                    <w:left w:val="none" w:sz="0" w:space="0" w:color="auto"/>
                    <w:bottom w:val="none" w:sz="0" w:space="0" w:color="auto"/>
                    <w:right w:val="none" w:sz="0" w:space="0" w:color="auto"/>
                  </w:divBdr>
                  <w:divsChild>
                    <w:div w:id="867178824">
                      <w:marLeft w:val="0"/>
                      <w:marRight w:val="0"/>
                      <w:marTop w:val="0"/>
                      <w:marBottom w:val="0"/>
                      <w:divBdr>
                        <w:top w:val="none" w:sz="0" w:space="0" w:color="auto"/>
                        <w:left w:val="none" w:sz="0" w:space="0" w:color="auto"/>
                        <w:bottom w:val="none" w:sz="0" w:space="0" w:color="auto"/>
                        <w:right w:val="none" w:sz="0" w:space="0" w:color="auto"/>
                      </w:divBdr>
                    </w:div>
                  </w:divsChild>
                </w:div>
                <w:div w:id="2018606302">
                  <w:marLeft w:val="0"/>
                  <w:marRight w:val="0"/>
                  <w:marTop w:val="0"/>
                  <w:marBottom w:val="0"/>
                  <w:divBdr>
                    <w:top w:val="none" w:sz="0" w:space="0" w:color="auto"/>
                    <w:left w:val="none" w:sz="0" w:space="0" w:color="auto"/>
                    <w:bottom w:val="none" w:sz="0" w:space="0" w:color="auto"/>
                    <w:right w:val="none" w:sz="0" w:space="0" w:color="auto"/>
                  </w:divBdr>
                  <w:divsChild>
                    <w:div w:id="634523665">
                      <w:marLeft w:val="0"/>
                      <w:marRight w:val="0"/>
                      <w:marTop w:val="0"/>
                      <w:marBottom w:val="0"/>
                      <w:divBdr>
                        <w:top w:val="none" w:sz="0" w:space="0" w:color="auto"/>
                        <w:left w:val="none" w:sz="0" w:space="0" w:color="auto"/>
                        <w:bottom w:val="none" w:sz="0" w:space="0" w:color="auto"/>
                        <w:right w:val="none" w:sz="0" w:space="0" w:color="auto"/>
                      </w:divBdr>
                    </w:div>
                  </w:divsChild>
                </w:div>
                <w:div w:id="2037998812">
                  <w:marLeft w:val="0"/>
                  <w:marRight w:val="0"/>
                  <w:marTop w:val="0"/>
                  <w:marBottom w:val="0"/>
                  <w:divBdr>
                    <w:top w:val="none" w:sz="0" w:space="0" w:color="auto"/>
                    <w:left w:val="none" w:sz="0" w:space="0" w:color="auto"/>
                    <w:bottom w:val="none" w:sz="0" w:space="0" w:color="auto"/>
                    <w:right w:val="none" w:sz="0" w:space="0" w:color="auto"/>
                  </w:divBdr>
                  <w:divsChild>
                    <w:div w:id="1418751083">
                      <w:marLeft w:val="0"/>
                      <w:marRight w:val="0"/>
                      <w:marTop w:val="0"/>
                      <w:marBottom w:val="0"/>
                      <w:divBdr>
                        <w:top w:val="none" w:sz="0" w:space="0" w:color="auto"/>
                        <w:left w:val="none" w:sz="0" w:space="0" w:color="auto"/>
                        <w:bottom w:val="none" w:sz="0" w:space="0" w:color="auto"/>
                        <w:right w:val="none" w:sz="0" w:space="0" w:color="auto"/>
                      </w:divBdr>
                    </w:div>
                  </w:divsChild>
                </w:div>
                <w:div w:id="2051998685">
                  <w:marLeft w:val="0"/>
                  <w:marRight w:val="0"/>
                  <w:marTop w:val="0"/>
                  <w:marBottom w:val="0"/>
                  <w:divBdr>
                    <w:top w:val="none" w:sz="0" w:space="0" w:color="auto"/>
                    <w:left w:val="none" w:sz="0" w:space="0" w:color="auto"/>
                    <w:bottom w:val="none" w:sz="0" w:space="0" w:color="auto"/>
                    <w:right w:val="none" w:sz="0" w:space="0" w:color="auto"/>
                  </w:divBdr>
                  <w:divsChild>
                    <w:div w:id="273054588">
                      <w:marLeft w:val="0"/>
                      <w:marRight w:val="0"/>
                      <w:marTop w:val="0"/>
                      <w:marBottom w:val="0"/>
                      <w:divBdr>
                        <w:top w:val="none" w:sz="0" w:space="0" w:color="auto"/>
                        <w:left w:val="none" w:sz="0" w:space="0" w:color="auto"/>
                        <w:bottom w:val="none" w:sz="0" w:space="0" w:color="auto"/>
                        <w:right w:val="none" w:sz="0" w:space="0" w:color="auto"/>
                      </w:divBdr>
                    </w:div>
                  </w:divsChild>
                </w:div>
                <w:div w:id="2071076479">
                  <w:marLeft w:val="0"/>
                  <w:marRight w:val="0"/>
                  <w:marTop w:val="0"/>
                  <w:marBottom w:val="0"/>
                  <w:divBdr>
                    <w:top w:val="none" w:sz="0" w:space="0" w:color="auto"/>
                    <w:left w:val="none" w:sz="0" w:space="0" w:color="auto"/>
                    <w:bottom w:val="none" w:sz="0" w:space="0" w:color="auto"/>
                    <w:right w:val="none" w:sz="0" w:space="0" w:color="auto"/>
                  </w:divBdr>
                  <w:divsChild>
                    <w:div w:id="469981003">
                      <w:marLeft w:val="0"/>
                      <w:marRight w:val="0"/>
                      <w:marTop w:val="0"/>
                      <w:marBottom w:val="0"/>
                      <w:divBdr>
                        <w:top w:val="none" w:sz="0" w:space="0" w:color="auto"/>
                        <w:left w:val="none" w:sz="0" w:space="0" w:color="auto"/>
                        <w:bottom w:val="none" w:sz="0" w:space="0" w:color="auto"/>
                        <w:right w:val="none" w:sz="0" w:space="0" w:color="auto"/>
                      </w:divBdr>
                    </w:div>
                  </w:divsChild>
                </w:div>
                <w:div w:id="2119369568">
                  <w:marLeft w:val="0"/>
                  <w:marRight w:val="0"/>
                  <w:marTop w:val="0"/>
                  <w:marBottom w:val="0"/>
                  <w:divBdr>
                    <w:top w:val="none" w:sz="0" w:space="0" w:color="auto"/>
                    <w:left w:val="none" w:sz="0" w:space="0" w:color="auto"/>
                    <w:bottom w:val="none" w:sz="0" w:space="0" w:color="auto"/>
                    <w:right w:val="none" w:sz="0" w:space="0" w:color="auto"/>
                  </w:divBdr>
                  <w:divsChild>
                    <w:div w:id="910194596">
                      <w:marLeft w:val="0"/>
                      <w:marRight w:val="0"/>
                      <w:marTop w:val="0"/>
                      <w:marBottom w:val="0"/>
                      <w:divBdr>
                        <w:top w:val="none" w:sz="0" w:space="0" w:color="auto"/>
                        <w:left w:val="none" w:sz="0" w:space="0" w:color="auto"/>
                        <w:bottom w:val="none" w:sz="0" w:space="0" w:color="auto"/>
                        <w:right w:val="none" w:sz="0" w:space="0" w:color="auto"/>
                      </w:divBdr>
                    </w:div>
                  </w:divsChild>
                </w:div>
                <w:div w:id="2124180642">
                  <w:marLeft w:val="0"/>
                  <w:marRight w:val="0"/>
                  <w:marTop w:val="0"/>
                  <w:marBottom w:val="0"/>
                  <w:divBdr>
                    <w:top w:val="none" w:sz="0" w:space="0" w:color="auto"/>
                    <w:left w:val="none" w:sz="0" w:space="0" w:color="auto"/>
                    <w:bottom w:val="none" w:sz="0" w:space="0" w:color="auto"/>
                    <w:right w:val="none" w:sz="0" w:space="0" w:color="auto"/>
                  </w:divBdr>
                  <w:divsChild>
                    <w:div w:id="20368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3778">
          <w:marLeft w:val="0"/>
          <w:marRight w:val="0"/>
          <w:marTop w:val="0"/>
          <w:marBottom w:val="0"/>
          <w:divBdr>
            <w:top w:val="none" w:sz="0" w:space="0" w:color="auto"/>
            <w:left w:val="none" w:sz="0" w:space="0" w:color="auto"/>
            <w:bottom w:val="none" w:sz="0" w:space="0" w:color="auto"/>
            <w:right w:val="none" w:sz="0" w:space="0" w:color="auto"/>
          </w:divBdr>
          <w:divsChild>
            <w:div w:id="489177929">
              <w:marLeft w:val="0"/>
              <w:marRight w:val="0"/>
              <w:marTop w:val="30"/>
              <w:marBottom w:val="30"/>
              <w:divBdr>
                <w:top w:val="none" w:sz="0" w:space="0" w:color="auto"/>
                <w:left w:val="none" w:sz="0" w:space="0" w:color="auto"/>
                <w:bottom w:val="none" w:sz="0" w:space="0" w:color="auto"/>
                <w:right w:val="none" w:sz="0" w:space="0" w:color="auto"/>
              </w:divBdr>
              <w:divsChild>
                <w:div w:id="73867978">
                  <w:marLeft w:val="0"/>
                  <w:marRight w:val="0"/>
                  <w:marTop w:val="0"/>
                  <w:marBottom w:val="0"/>
                  <w:divBdr>
                    <w:top w:val="none" w:sz="0" w:space="0" w:color="auto"/>
                    <w:left w:val="none" w:sz="0" w:space="0" w:color="auto"/>
                    <w:bottom w:val="none" w:sz="0" w:space="0" w:color="auto"/>
                    <w:right w:val="none" w:sz="0" w:space="0" w:color="auto"/>
                  </w:divBdr>
                  <w:divsChild>
                    <w:div w:id="1005865682">
                      <w:marLeft w:val="0"/>
                      <w:marRight w:val="0"/>
                      <w:marTop w:val="0"/>
                      <w:marBottom w:val="0"/>
                      <w:divBdr>
                        <w:top w:val="none" w:sz="0" w:space="0" w:color="auto"/>
                        <w:left w:val="none" w:sz="0" w:space="0" w:color="auto"/>
                        <w:bottom w:val="none" w:sz="0" w:space="0" w:color="auto"/>
                        <w:right w:val="none" w:sz="0" w:space="0" w:color="auto"/>
                      </w:divBdr>
                    </w:div>
                  </w:divsChild>
                </w:div>
                <w:div w:id="141965659">
                  <w:marLeft w:val="0"/>
                  <w:marRight w:val="0"/>
                  <w:marTop w:val="0"/>
                  <w:marBottom w:val="0"/>
                  <w:divBdr>
                    <w:top w:val="none" w:sz="0" w:space="0" w:color="auto"/>
                    <w:left w:val="none" w:sz="0" w:space="0" w:color="auto"/>
                    <w:bottom w:val="none" w:sz="0" w:space="0" w:color="auto"/>
                    <w:right w:val="none" w:sz="0" w:space="0" w:color="auto"/>
                  </w:divBdr>
                  <w:divsChild>
                    <w:div w:id="1871530560">
                      <w:marLeft w:val="0"/>
                      <w:marRight w:val="0"/>
                      <w:marTop w:val="0"/>
                      <w:marBottom w:val="0"/>
                      <w:divBdr>
                        <w:top w:val="none" w:sz="0" w:space="0" w:color="auto"/>
                        <w:left w:val="none" w:sz="0" w:space="0" w:color="auto"/>
                        <w:bottom w:val="none" w:sz="0" w:space="0" w:color="auto"/>
                        <w:right w:val="none" w:sz="0" w:space="0" w:color="auto"/>
                      </w:divBdr>
                    </w:div>
                  </w:divsChild>
                </w:div>
                <w:div w:id="184176679">
                  <w:marLeft w:val="0"/>
                  <w:marRight w:val="0"/>
                  <w:marTop w:val="0"/>
                  <w:marBottom w:val="0"/>
                  <w:divBdr>
                    <w:top w:val="none" w:sz="0" w:space="0" w:color="auto"/>
                    <w:left w:val="none" w:sz="0" w:space="0" w:color="auto"/>
                    <w:bottom w:val="none" w:sz="0" w:space="0" w:color="auto"/>
                    <w:right w:val="none" w:sz="0" w:space="0" w:color="auto"/>
                  </w:divBdr>
                  <w:divsChild>
                    <w:div w:id="650912377">
                      <w:marLeft w:val="0"/>
                      <w:marRight w:val="0"/>
                      <w:marTop w:val="0"/>
                      <w:marBottom w:val="0"/>
                      <w:divBdr>
                        <w:top w:val="none" w:sz="0" w:space="0" w:color="auto"/>
                        <w:left w:val="none" w:sz="0" w:space="0" w:color="auto"/>
                        <w:bottom w:val="none" w:sz="0" w:space="0" w:color="auto"/>
                        <w:right w:val="none" w:sz="0" w:space="0" w:color="auto"/>
                      </w:divBdr>
                    </w:div>
                  </w:divsChild>
                </w:div>
                <w:div w:id="337314492">
                  <w:marLeft w:val="0"/>
                  <w:marRight w:val="0"/>
                  <w:marTop w:val="0"/>
                  <w:marBottom w:val="0"/>
                  <w:divBdr>
                    <w:top w:val="none" w:sz="0" w:space="0" w:color="auto"/>
                    <w:left w:val="none" w:sz="0" w:space="0" w:color="auto"/>
                    <w:bottom w:val="none" w:sz="0" w:space="0" w:color="auto"/>
                    <w:right w:val="none" w:sz="0" w:space="0" w:color="auto"/>
                  </w:divBdr>
                  <w:divsChild>
                    <w:div w:id="1087071339">
                      <w:marLeft w:val="0"/>
                      <w:marRight w:val="0"/>
                      <w:marTop w:val="0"/>
                      <w:marBottom w:val="0"/>
                      <w:divBdr>
                        <w:top w:val="none" w:sz="0" w:space="0" w:color="auto"/>
                        <w:left w:val="none" w:sz="0" w:space="0" w:color="auto"/>
                        <w:bottom w:val="none" w:sz="0" w:space="0" w:color="auto"/>
                        <w:right w:val="none" w:sz="0" w:space="0" w:color="auto"/>
                      </w:divBdr>
                    </w:div>
                  </w:divsChild>
                </w:div>
                <w:div w:id="452091660">
                  <w:marLeft w:val="0"/>
                  <w:marRight w:val="0"/>
                  <w:marTop w:val="0"/>
                  <w:marBottom w:val="0"/>
                  <w:divBdr>
                    <w:top w:val="none" w:sz="0" w:space="0" w:color="auto"/>
                    <w:left w:val="none" w:sz="0" w:space="0" w:color="auto"/>
                    <w:bottom w:val="none" w:sz="0" w:space="0" w:color="auto"/>
                    <w:right w:val="none" w:sz="0" w:space="0" w:color="auto"/>
                  </w:divBdr>
                  <w:divsChild>
                    <w:div w:id="66079650">
                      <w:marLeft w:val="0"/>
                      <w:marRight w:val="0"/>
                      <w:marTop w:val="0"/>
                      <w:marBottom w:val="0"/>
                      <w:divBdr>
                        <w:top w:val="none" w:sz="0" w:space="0" w:color="auto"/>
                        <w:left w:val="none" w:sz="0" w:space="0" w:color="auto"/>
                        <w:bottom w:val="none" w:sz="0" w:space="0" w:color="auto"/>
                        <w:right w:val="none" w:sz="0" w:space="0" w:color="auto"/>
                      </w:divBdr>
                    </w:div>
                  </w:divsChild>
                </w:div>
                <w:div w:id="577641010">
                  <w:marLeft w:val="0"/>
                  <w:marRight w:val="0"/>
                  <w:marTop w:val="0"/>
                  <w:marBottom w:val="0"/>
                  <w:divBdr>
                    <w:top w:val="none" w:sz="0" w:space="0" w:color="auto"/>
                    <w:left w:val="none" w:sz="0" w:space="0" w:color="auto"/>
                    <w:bottom w:val="none" w:sz="0" w:space="0" w:color="auto"/>
                    <w:right w:val="none" w:sz="0" w:space="0" w:color="auto"/>
                  </w:divBdr>
                  <w:divsChild>
                    <w:div w:id="195433464">
                      <w:marLeft w:val="0"/>
                      <w:marRight w:val="0"/>
                      <w:marTop w:val="0"/>
                      <w:marBottom w:val="0"/>
                      <w:divBdr>
                        <w:top w:val="none" w:sz="0" w:space="0" w:color="auto"/>
                        <w:left w:val="none" w:sz="0" w:space="0" w:color="auto"/>
                        <w:bottom w:val="none" w:sz="0" w:space="0" w:color="auto"/>
                        <w:right w:val="none" w:sz="0" w:space="0" w:color="auto"/>
                      </w:divBdr>
                    </w:div>
                  </w:divsChild>
                </w:div>
                <w:div w:id="699355724">
                  <w:marLeft w:val="0"/>
                  <w:marRight w:val="0"/>
                  <w:marTop w:val="0"/>
                  <w:marBottom w:val="0"/>
                  <w:divBdr>
                    <w:top w:val="none" w:sz="0" w:space="0" w:color="auto"/>
                    <w:left w:val="none" w:sz="0" w:space="0" w:color="auto"/>
                    <w:bottom w:val="none" w:sz="0" w:space="0" w:color="auto"/>
                    <w:right w:val="none" w:sz="0" w:space="0" w:color="auto"/>
                  </w:divBdr>
                  <w:divsChild>
                    <w:div w:id="37121460">
                      <w:marLeft w:val="0"/>
                      <w:marRight w:val="0"/>
                      <w:marTop w:val="0"/>
                      <w:marBottom w:val="0"/>
                      <w:divBdr>
                        <w:top w:val="none" w:sz="0" w:space="0" w:color="auto"/>
                        <w:left w:val="none" w:sz="0" w:space="0" w:color="auto"/>
                        <w:bottom w:val="none" w:sz="0" w:space="0" w:color="auto"/>
                        <w:right w:val="none" w:sz="0" w:space="0" w:color="auto"/>
                      </w:divBdr>
                    </w:div>
                  </w:divsChild>
                </w:div>
                <w:div w:id="728311880">
                  <w:marLeft w:val="0"/>
                  <w:marRight w:val="0"/>
                  <w:marTop w:val="0"/>
                  <w:marBottom w:val="0"/>
                  <w:divBdr>
                    <w:top w:val="none" w:sz="0" w:space="0" w:color="auto"/>
                    <w:left w:val="none" w:sz="0" w:space="0" w:color="auto"/>
                    <w:bottom w:val="none" w:sz="0" w:space="0" w:color="auto"/>
                    <w:right w:val="none" w:sz="0" w:space="0" w:color="auto"/>
                  </w:divBdr>
                  <w:divsChild>
                    <w:div w:id="601452243">
                      <w:marLeft w:val="0"/>
                      <w:marRight w:val="0"/>
                      <w:marTop w:val="0"/>
                      <w:marBottom w:val="0"/>
                      <w:divBdr>
                        <w:top w:val="none" w:sz="0" w:space="0" w:color="auto"/>
                        <w:left w:val="none" w:sz="0" w:space="0" w:color="auto"/>
                        <w:bottom w:val="none" w:sz="0" w:space="0" w:color="auto"/>
                        <w:right w:val="none" w:sz="0" w:space="0" w:color="auto"/>
                      </w:divBdr>
                    </w:div>
                  </w:divsChild>
                </w:div>
                <w:div w:id="790325831">
                  <w:marLeft w:val="0"/>
                  <w:marRight w:val="0"/>
                  <w:marTop w:val="0"/>
                  <w:marBottom w:val="0"/>
                  <w:divBdr>
                    <w:top w:val="none" w:sz="0" w:space="0" w:color="auto"/>
                    <w:left w:val="none" w:sz="0" w:space="0" w:color="auto"/>
                    <w:bottom w:val="none" w:sz="0" w:space="0" w:color="auto"/>
                    <w:right w:val="none" w:sz="0" w:space="0" w:color="auto"/>
                  </w:divBdr>
                  <w:divsChild>
                    <w:div w:id="1863788031">
                      <w:marLeft w:val="0"/>
                      <w:marRight w:val="0"/>
                      <w:marTop w:val="0"/>
                      <w:marBottom w:val="0"/>
                      <w:divBdr>
                        <w:top w:val="none" w:sz="0" w:space="0" w:color="auto"/>
                        <w:left w:val="none" w:sz="0" w:space="0" w:color="auto"/>
                        <w:bottom w:val="none" w:sz="0" w:space="0" w:color="auto"/>
                        <w:right w:val="none" w:sz="0" w:space="0" w:color="auto"/>
                      </w:divBdr>
                    </w:div>
                  </w:divsChild>
                </w:div>
                <w:div w:id="790515199">
                  <w:marLeft w:val="0"/>
                  <w:marRight w:val="0"/>
                  <w:marTop w:val="0"/>
                  <w:marBottom w:val="0"/>
                  <w:divBdr>
                    <w:top w:val="none" w:sz="0" w:space="0" w:color="auto"/>
                    <w:left w:val="none" w:sz="0" w:space="0" w:color="auto"/>
                    <w:bottom w:val="none" w:sz="0" w:space="0" w:color="auto"/>
                    <w:right w:val="none" w:sz="0" w:space="0" w:color="auto"/>
                  </w:divBdr>
                  <w:divsChild>
                    <w:div w:id="1011487983">
                      <w:marLeft w:val="0"/>
                      <w:marRight w:val="0"/>
                      <w:marTop w:val="0"/>
                      <w:marBottom w:val="0"/>
                      <w:divBdr>
                        <w:top w:val="none" w:sz="0" w:space="0" w:color="auto"/>
                        <w:left w:val="none" w:sz="0" w:space="0" w:color="auto"/>
                        <w:bottom w:val="none" w:sz="0" w:space="0" w:color="auto"/>
                        <w:right w:val="none" w:sz="0" w:space="0" w:color="auto"/>
                      </w:divBdr>
                    </w:div>
                  </w:divsChild>
                </w:div>
                <w:div w:id="886529625">
                  <w:marLeft w:val="0"/>
                  <w:marRight w:val="0"/>
                  <w:marTop w:val="0"/>
                  <w:marBottom w:val="0"/>
                  <w:divBdr>
                    <w:top w:val="none" w:sz="0" w:space="0" w:color="auto"/>
                    <w:left w:val="none" w:sz="0" w:space="0" w:color="auto"/>
                    <w:bottom w:val="none" w:sz="0" w:space="0" w:color="auto"/>
                    <w:right w:val="none" w:sz="0" w:space="0" w:color="auto"/>
                  </w:divBdr>
                  <w:divsChild>
                    <w:div w:id="74010407">
                      <w:marLeft w:val="0"/>
                      <w:marRight w:val="0"/>
                      <w:marTop w:val="0"/>
                      <w:marBottom w:val="0"/>
                      <w:divBdr>
                        <w:top w:val="none" w:sz="0" w:space="0" w:color="auto"/>
                        <w:left w:val="none" w:sz="0" w:space="0" w:color="auto"/>
                        <w:bottom w:val="none" w:sz="0" w:space="0" w:color="auto"/>
                        <w:right w:val="none" w:sz="0" w:space="0" w:color="auto"/>
                      </w:divBdr>
                    </w:div>
                  </w:divsChild>
                </w:div>
                <w:div w:id="938148642">
                  <w:marLeft w:val="0"/>
                  <w:marRight w:val="0"/>
                  <w:marTop w:val="0"/>
                  <w:marBottom w:val="0"/>
                  <w:divBdr>
                    <w:top w:val="none" w:sz="0" w:space="0" w:color="auto"/>
                    <w:left w:val="none" w:sz="0" w:space="0" w:color="auto"/>
                    <w:bottom w:val="none" w:sz="0" w:space="0" w:color="auto"/>
                    <w:right w:val="none" w:sz="0" w:space="0" w:color="auto"/>
                  </w:divBdr>
                  <w:divsChild>
                    <w:div w:id="1864400639">
                      <w:marLeft w:val="0"/>
                      <w:marRight w:val="0"/>
                      <w:marTop w:val="0"/>
                      <w:marBottom w:val="0"/>
                      <w:divBdr>
                        <w:top w:val="none" w:sz="0" w:space="0" w:color="auto"/>
                        <w:left w:val="none" w:sz="0" w:space="0" w:color="auto"/>
                        <w:bottom w:val="none" w:sz="0" w:space="0" w:color="auto"/>
                        <w:right w:val="none" w:sz="0" w:space="0" w:color="auto"/>
                      </w:divBdr>
                    </w:div>
                  </w:divsChild>
                </w:div>
                <w:div w:id="953172801">
                  <w:marLeft w:val="0"/>
                  <w:marRight w:val="0"/>
                  <w:marTop w:val="0"/>
                  <w:marBottom w:val="0"/>
                  <w:divBdr>
                    <w:top w:val="none" w:sz="0" w:space="0" w:color="auto"/>
                    <w:left w:val="none" w:sz="0" w:space="0" w:color="auto"/>
                    <w:bottom w:val="none" w:sz="0" w:space="0" w:color="auto"/>
                    <w:right w:val="none" w:sz="0" w:space="0" w:color="auto"/>
                  </w:divBdr>
                  <w:divsChild>
                    <w:div w:id="363752303">
                      <w:marLeft w:val="0"/>
                      <w:marRight w:val="0"/>
                      <w:marTop w:val="0"/>
                      <w:marBottom w:val="0"/>
                      <w:divBdr>
                        <w:top w:val="none" w:sz="0" w:space="0" w:color="auto"/>
                        <w:left w:val="none" w:sz="0" w:space="0" w:color="auto"/>
                        <w:bottom w:val="none" w:sz="0" w:space="0" w:color="auto"/>
                        <w:right w:val="none" w:sz="0" w:space="0" w:color="auto"/>
                      </w:divBdr>
                    </w:div>
                  </w:divsChild>
                </w:div>
                <w:div w:id="994258412">
                  <w:marLeft w:val="0"/>
                  <w:marRight w:val="0"/>
                  <w:marTop w:val="0"/>
                  <w:marBottom w:val="0"/>
                  <w:divBdr>
                    <w:top w:val="none" w:sz="0" w:space="0" w:color="auto"/>
                    <w:left w:val="none" w:sz="0" w:space="0" w:color="auto"/>
                    <w:bottom w:val="none" w:sz="0" w:space="0" w:color="auto"/>
                    <w:right w:val="none" w:sz="0" w:space="0" w:color="auto"/>
                  </w:divBdr>
                  <w:divsChild>
                    <w:div w:id="1783185654">
                      <w:marLeft w:val="0"/>
                      <w:marRight w:val="0"/>
                      <w:marTop w:val="0"/>
                      <w:marBottom w:val="0"/>
                      <w:divBdr>
                        <w:top w:val="none" w:sz="0" w:space="0" w:color="auto"/>
                        <w:left w:val="none" w:sz="0" w:space="0" w:color="auto"/>
                        <w:bottom w:val="none" w:sz="0" w:space="0" w:color="auto"/>
                        <w:right w:val="none" w:sz="0" w:space="0" w:color="auto"/>
                      </w:divBdr>
                    </w:div>
                  </w:divsChild>
                </w:div>
                <w:div w:id="1123381500">
                  <w:marLeft w:val="0"/>
                  <w:marRight w:val="0"/>
                  <w:marTop w:val="0"/>
                  <w:marBottom w:val="0"/>
                  <w:divBdr>
                    <w:top w:val="none" w:sz="0" w:space="0" w:color="auto"/>
                    <w:left w:val="none" w:sz="0" w:space="0" w:color="auto"/>
                    <w:bottom w:val="none" w:sz="0" w:space="0" w:color="auto"/>
                    <w:right w:val="none" w:sz="0" w:space="0" w:color="auto"/>
                  </w:divBdr>
                  <w:divsChild>
                    <w:div w:id="1101683800">
                      <w:marLeft w:val="0"/>
                      <w:marRight w:val="0"/>
                      <w:marTop w:val="0"/>
                      <w:marBottom w:val="0"/>
                      <w:divBdr>
                        <w:top w:val="none" w:sz="0" w:space="0" w:color="auto"/>
                        <w:left w:val="none" w:sz="0" w:space="0" w:color="auto"/>
                        <w:bottom w:val="none" w:sz="0" w:space="0" w:color="auto"/>
                        <w:right w:val="none" w:sz="0" w:space="0" w:color="auto"/>
                      </w:divBdr>
                    </w:div>
                  </w:divsChild>
                </w:div>
                <w:div w:id="1156608069">
                  <w:marLeft w:val="0"/>
                  <w:marRight w:val="0"/>
                  <w:marTop w:val="0"/>
                  <w:marBottom w:val="0"/>
                  <w:divBdr>
                    <w:top w:val="none" w:sz="0" w:space="0" w:color="auto"/>
                    <w:left w:val="none" w:sz="0" w:space="0" w:color="auto"/>
                    <w:bottom w:val="none" w:sz="0" w:space="0" w:color="auto"/>
                    <w:right w:val="none" w:sz="0" w:space="0" w:color="auto"/>
                  </w:divBdr>
                  <w:divsChild>
                    <w:div w:id="1312446652">
                      <w:marLeft w:val="0"/>
                      <w:marRight w:val="0"/>
                      <w:marTop w:val="0"/>
                      <w:marBottom w:val="0"/>
                      <w:divBdr>
                        <w:top w:val="none" w:sz="0" w:space="0" w:color="auto"/>
                        <w:left w:val="none" w:sz="0" w:space="0" w:color="auto"/>
                        <w:bottom w:val="none" w:sz="0" w:space="0" w:color="auto"/>
                        <w:right w:val="none" w:sz="0" w:space="0" w:color="auto"/>
                      </w:divBdr>
                    </w:div>
                  </w:divsChild>
                </w:div>
                <w:div w:id="1234850014">
                  <w:marLeft w:val="0"/>
                  <w:marRight w:val="0"/>
                  <w:marTop w:val="0"/>
                  <w:marBottom w:val="0"/>
                  <w:divBdr>
                    <w:top w:val="none" w:sz="0" w:space="0" w:color="auto"/>
                    <w:left w:val="none" w:sz="0" w:space="0" w:color="auto"/>
                    <w:bottom w:val="none" w:sz="0" w:space="0" w:color="auto"/>
                    <w:right w:val="none" w:sz="0" w:space="0" w:color="auto"/>
                  </w:divBdr>
                  <w:divsChild>
                    <w:div w:id="1138914371">
                      <w:marLeft w:val="0"/>
                      <w:marRight w:val="0"/>
                      <w:marTop w:val="0"/>
                      <w:marBottom w:val="0"/>
                      <w:divBdr>
                        <w:top w:val="none" w:sz="0" w:space="0" w:color="auto"/>
                        <w:left w:val="none" w:sz="0" w:space="0" w:color="auto"/>
                        <w:bottom w:val="none" w:sz="0" w:space="0" w:color="auto"/>
                        <w:right w:val="none" w:sz="0" w:space="0" w:color="auto"/>
                      </w:divBdr>
                    </w:div>
                  </w:divsChild>
                </w:div>
                <w:div w:id="1351374030">
                  <w:marLeft w:val="0"/>
                  <w:marRight w:val="0"/>
                  <w:marTop w:val="0"/>
                  <w:marBottom w:val="0"/>
                  <w:divBdr>
                    <w:top w:val="none" w:sz="0" w:space="0" w:color="auto"/>
                    <w:left w:val="none" w:sz="0" w:space="0" w:color="auto"/>
                    <w:bottom w:val="none" w:sz="0" w:space="0" w:color="auto"/>
                    <w:right w:val="none" w:sz="0" w:space="0" w:color="auto"/>
                  </w:divBdr>
                  <w:divsChild>
                    <w:div w:id="1665887872">
                      <w:marLeft w:val="0"/>
                      <w:marRight w:val="0"/>
                      <w:marTop w:val="0"/>
                      <w:marBottom w:val="0"/>
                      <w:divBdr>
                        <w:top w:val="none" w:sz="0" w:space="0" w:color="auto"/>
                        <w:left w:val="none" w:sz="0" w:space="0" w:color="auto"/>
                        <w:bottom w:val="none" w:sz="0" w:space="0" w:color="auto"/>
                        <w:right w:val="none" w:sz="0" w:space="0" w:color="auto"/>
                      </w:divBdr>
                    </w:div>
                  </w:divsChild>
                </w:div>
                <w:div w:id="1390348996">
                  <w:marLeft w:val="0"/>
                  <w:marRight w:val="0"/>
                  <w:marTop w:val="0"/>
                  <w:marBottom w:val="0"/>
                  <w:divBdr>
                    <w:top w:val="none" w:sz="0" w:space="0" w:color="auto"/>
                    <w:left w:val="none" w:sz="0" w:space="0" w:color="auto"/>
                    <w:bottom w:val="none" w:sz="0" w:space="0" w:color="auto"/>
                    <w:right w:val="none" w:sz="0" w:space="0" w:color="auto"/>
                  </w:divBdr>
                  <w:divsChild>
                    <w:div w:id="699284323">
                      <w:marLeft w:val="0"/>
                      <w:marRight w:val="0"/>
                      <w:marTop w:val="0"/>
                      <w:marBottom w:val="0"/>
                      <w:divBdr>
                        <w:top w:val="none" w:sz="0" w:space="0" w:color="auto"/>
                        <w:left w:val="none" w:sz="0" w:space="0" w:color="auto"/>
                        <w:bottom w:val="none" w:sz="0" w:space="0" w:color="auto"/>
                        <w:right w:val="none" w:sz="0" w:space="0" w:color="auto"/>
                      </w:divBdr>
                    </w:div>
                  </w:divsChild>
                </w:div>
                <w:div w:id="1505822848">
                  <w:marLeft w:val="0"/>
                  <w:marRight w:val="0"/>
                  <w:marTop w:val="0"/>
                  <w:marBottom w:val="0"/>
                  <w:divBdr>
                    <w:top w:val="none" w:sz="0" w:space="0" w:color="auto"/>
                    <w:left w:val="none" w:sz="0" w:space="0" w:color="auto"/>
                    <w:bottom w:val="none" w:sz="0" w:space="0" w:color="auto"/>
                    <w:right w:val="none" w:sz="0" w:space="0" w:color="auto"/>
                  </w:divBdr>
                  <w:divsChild>
                    <w:div w:id="252666192">
                      <w:marLeft w:val="0"/>
                      <w:marRight w:val="0"/>
                      <w:marTop w:val="0"/>
                      <w:marBottom w:val="0"/>
                      <w:divBdr>
                        <w:top w:val="none" w:sz="0" w:space="0" w:color="auto"/>
                        <w:left w:val="none" w:sz="0" w:space="0" w:color="auto"/>
                        <w:bottom w:val="none" w:sz="0" w:space="0" w:color="auto"/>
                        <w:right w:val="none" w:sz="0" w:space="0" w:color="auto"/>
                      </w:divBdr>
                    </w:div>
                  </w:divsChild>
                </w:div>
                <w:div w:id="1619337905">
                  <w:marLeft w:val="0"/>
                  <w:marRight w:val="0"/>
                  <w:marTop w:val="0"/>
                  <w:marBottom w:val="0"/>
                  <w:divBdr>
                    <w:top w:val="none" w:sz="0" w:space="0" w:color="auto"/>
                    <w:left w:val="none" w:sz="0" w:space="0" w:color="auto"/>
                    <w:bottom w:val="none" w:sz="0" w:space="0" w:color="auto"/>
                    <w:right w:val="none" w:sz="0" w:space="0" w:color="auto"/>
                  </w:divBdr>
                  <w:divsChild>
                    <w:div w:id="771558453">
                      <w:marLeft w:val="0"/>
                      <w:marRight w:val="0"/>
                      <w:marTop w:val="0"/>
                      <w:marBottom w:val="0"/>
                      <w:divBdr>
                        <w:top w:val="none" w:sz="0" w:space="0" w:color="auto"/>
                        <w:left w:val="none" w:sz="0" w:space="0" w:color="auto"/>
                        <w:bottom w:val="none" w:sz="0" w:space="0" w:color="auto"/>
                        <w:right w:val="none" w:sz="0" w:space="0" w:color="auto"/>
                      </w:divBdr>
                    </w:div>
                  </w:divsChild>
                </w:div>
                <w:div w:id="1698503837">
                  <w:marLeft w:val="0"/>
                  <w:marRight w:val="0"/>
                  <w:marTop w:val="0"/>
                  <w:marBottom w:val="0"/>
                  <w:divBdr>
                    <w:top w:val="none" w:sz="0" w:space="0" w:color="auto"/>
                    <w:left w:val="none" w:sz="0" w:space="0" w:color="auto"/>
                    <w:bottom w:val="none" w:sz="0" w:space="0" w:color="auto"/>
                    <w:right w:val="none" w:sz="0" w:space="0" w:color="auto"/>
                  </w:divBdr>
                  <w:divsChild>
                    <w:div w:id="1233126179">
                      <w:marLeft w:val="0"/>
                      <w:marRight w:val="0"/>
                      <w:marTop w:val="0"/>
                      <w:marBottom w:val="0"/>
                      <w:divBdr>
                        <w:top w:val="none" w:sz="0" w:space="0" w:color="auto"/>
                        <w:left w:val="none" w:sz="0" w:space="0" w:color="auto"/>
                        <w:bottom w:val="none" w:sz="0" w:space="0" w:color="auto"/>
                        <w:right w:val="none" w:sz="0" w:space="0" w:color="auto"/>
                      </w:divBdr>
                    </w:div>
                  </w:divsChild>
                </w:div>
                <w:div w:id="1726179594">
                  <w:marLeft w:val="0"/>
                  <w:marRight w:val="0"/>
                  <w:marTop w:val="0"/>
                  <w:marBottom w:val="0"/>
                  <w:divBdr>
                    <w:top w:val="none" w:sz="0" w:space="0" w:color="auto"/>
                    <w:left w:val="none" w:sz="0" w:space="0" w:color="auto"/>
                    <w:bottom w:val="none" w:sz="0" w:space="0" w:color="auto"/>
                    <w:right w:val="none" w:sz="0" w:space="0" w:color="auto"/>
                  </w:divBdr>
                  <w:divsChild>
                    <w:div w:id="1792360692">
                      <w:marLeft w:val="0"/>
                      <w:marRight w:val="0"/>
                      <w:marTop w:val="0"/>
                      <w:marBottom w:val="0"/>
                      <w:divBdr>
                        <w:top w:val="none" w:sz="0" w:space="0" w:color="auto"/>
                        <w:left w:val="none" w:sz="0" w:space="0" w:color="auto"/>
                        <w:bottom w:val="none" w:sz="0" w:space="0" w:color="auto"/>
                        <w:right w:val="none" w:sz="0" w:space="0" w:color="auto"/>
                      </w:divBdr>
                    </w:div>
                  </w:divsChild>
                </w:div>
                <w:div w:id="1778795534">
                  <w:marLeft w:val="0"/>
                  <w:marRight w:val="0"/>
                  <w:marTop w:val="0"/>
                  <w:marBottom w:val="0"/>
                  <w:divBdr>
                    <w:top w:val="none" w:sz="0" w:space="0" w:color="auto"/>
                    <w:left w:val="none" w:sz="0" w:space="0" w:color="auto"/>
                    <w:bottom w:val="none" w:sz="0" w:space="0" w:color="auto"/>
                    <w:right w:val="none" w:sz="0" w:space="0" w:color="auto"/>
                  </w:divBdr>
                  <w:divsChild>
                    <w:div w:id="1917471782">
                      <w:marLeft w:val="0"/>
                      <w:marRight w:val="0"/>
                      <w:marTop w:val="0"/>
                      <w:marBottom w:val="0"/>
                      <w:divBdr>
                        <w:top w:val="none" w:sz="0" w:space="0" w:color="auto"/>
                        <w:left w:val="none" w:sz="0" w:space="0" w:color="auto"/>
                        <w:bottom w:val="none" w:sz="0" w:space="0" w:color="auto"/>
                        <w:right w:val="none" w:sz="0" w:space="0" w:color="auto"/>
                      </w:divBdr>
                    </w:div>
                  </w:divsChild>
                </w:div>
                <w:div w:id="1869027173">
                  <w:marLeft w:val="0"/>
                  <w:marRight w:val="0"/>
                  <w:marTop w:val="0"/>
                  <w:marBottom w:val="0"/>
                  <w:divBdr>
                    <w:top w:val="none" w:sz="0" w:space="0" w:color="auto"/>
                    <w:left w:val="none" w:sz="0" w:space="0" w:color="auto"/>
                    <w:bottom w:val="none" w:sz="0" w:space="0" w:color="auto"/>
                    <w:right w:val="none" w:sz="0" w:space="0" w:color="auto"/>
                  </w:divBdr>
                  <w:divsChild>
                    <w:div w:id="662779434">
                      <w:marLeft w:val="0"/>
                      <w:marRight w:val="0"/>
                      <w:marTop w:val="0"/>
                      <w:marBottom w:val="0"/>
                      <w:divBdr>
                        <w:top w:val="none" w:sz="0" w:space="0" w:color="auto"/>
                        <w:left w:val="none" w:sz="0" w:space="0" w:color="auto"/>
                        <w:bottom w:val="none" w:sz="0" w:space="0" w:color="auto"/>
                        <w:right w:val="none" w:sz="0" w:space="0" w:color="auto"/>
                      </w:divBdr>
                    </w:div>
                  </w:divsChild>
                </w:div>
                <w:div w:id="1969428478">
                  <w:marLeft w:val="0"/>
                  <w:marRight w:val="0"/>
                  <w:marTop w:val="0"/>
                  <w:marBottom w:val="0"/>
                  <w:divBdr>
                    <w:top w:val="none" w:sz="0" w:space="0" w:color="auto"/>
                    <w:left w:val="none" w:sz="0" w:space="0" w:color="auto"/>
                    <w:bottom w:val="none" w:sz="0" w:space="0" w:color="auto"/>
                    <w:right w:val="none" w:sz="0" w:space="0" w:color="auto"/>
                  </w:divBdr>
                  <w:divsChild>
                    <w:div w:id="761727063">
                      <w:marLeft w:val="0"/>
                      <w:marRight w:val="0"/>
                      <w:marTop w:val="0"/>
                      <w:marBottom w:val="0"/>
                      <w:divBdr>
                        <w:top w:val="none" w:sz="0" w:space="0" w:color="auto"/>
                        <w:left w:val="none" w:sz="0" w:space="0" w:color="auto"/>
                        <w:bottom w:val="none" w:sz="0" w:space="0" w:color="auto"/>
                        <w:right w:val="none" w:sz="0" w:space="0" w:color="auto"/>
                      </w:divBdr>
                    </w:div>
                  </w:divsChild>
                </w:div>
                <w:div w:id="2048948707">
                  <w:marLeft w:val="0"/>
                  <w:marRight w:val="0"/>
                  <w:marTop w:val="0"/>
                  <w:marBottom w:val="0"/>
                  <w:divBdr>
                    <w:top w:val="none" w:sz="0" w:space="0" w:color="auto"/>
                    <w:left w:val="none" w:sz="0" w:space="0" w:color="auto"/>
                    <w:bottom w:val="none" w:sz="0" w:space="0" w:color="auto"/>
                    <w:right w:val="none" w:sz="0" w:space="0" w:color="auto"/>
                  </w:divBdr>
                  <w:divsChild>
                    <w:div w:id="1496610414">
                      <w:marLeft w:val="0"/>
                      <w:marRight w:val="0"/>
                      <w:marTop w:val="0"/>
                      <w:marBottom w:val="0"/>
                      <w:divBdr>
                        <w:top w:val="none" w:sz="0" w:space="0" w:color="auto"/>
                        <w:left w:val="none" w:sz="0" w:space="0" w:color="auto"/>
                        <w:bottom w:val="none" w:sz="0" w:space="0" w:color="auto"/>
                        <w:right w:val="none" w:sz="0" w:space="0" w:color="auto"/>
                      </w:divBdr>
                    </w:div>
                  </w:divsChild>
                </w:div>
                <w:div w:id="2116241177">
                  <w:marLeft w:val="0"/>
                  <w:marRight w:val="0"/>
                  <w:marTop w:val="0"/>
                  <w:marBottom w:val="0"/>
                  <w:divBdr>
                    <w:top w:val="none" w:sz="0" w:space="0" w:color="auto"/>
                    <w:left w:val="none" w:sz="0" w:space="0" w:color="auto"/>
                    <w:bottom w:val="none" w:sz="0" w:space="0" w:color="auto"/>
                    <w:right w:val="none" w:sz="0" w:space="0" w:color="auto"/>
                  </w:divBdr>
                  <w:divsChild>
                    <w:div w:id="6773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3222">
          <w:marLeft w:val="0"/>
          <w:marRight w:val="0"/>
          <w:marTop w:val="0"/>
          <w:marBottom w:val="0"/>
          <w:divBdr>
            <w:top w:val="none" w:sz="0" w:space="0" w:color="auto"/>
            <w:left w:val="none" w:sz="0" w:space="0" w:color="auto"/>
            <w:bottom w:val="none" w:sz="0" w:space="0" w:color="auto"/>
            <w:right w:val="none" w:sz="0" w:space="0" w:color="auto"/>
          </w:divBdr>
        </w:div>
      </w:divsChild>
    </w:div>
    <w:div w:id="1294555462">
      <w:bodyDiv w:val="1"/>
      <w:marLeft w:val="0"/>
      <w:marRight w:val="0"/>
      <w:marTop w:val="0"/>
      <w:marBottom w:val="0"/>
      <w:divBdr>
        <w:top w:val="none" w:sz="0" w:space="0" w:color="auto"/>
        <w:left w:val="none" w:sz="0" w:space="0" w:color="auto"/>
        <w:bottom w:val="none" w:sz="0" w:space="0" w:color="auto"/>
        <w:right w:val="none" w:sz="0" w:space="0" w:color="auto"/>
      </w:divBdr>
    </w:div>
    <w:div w:id="1585918314">
      <w:bodyDiv w:val="1"/>
      <w:marLeft w:val="0"/>
      <w:marRight w:val="0"/>
      <w:marTop w:val="0"/>
      <w:marBottom w:val="0"/>
      <w:divBdr>
        <w:top w:val="none" w:sz="0" w:space="0" w:color="auto"/>
        <w:left w:val="none" w:sz="0" w:space="0" w:color="auto"/>
        <w:bottom w:val="none" w:sz="0" w:space="0" w:color="auto"/>
        <w:right w:val="none" w:sz="0" w:space="0" w:color="auto"/>
      </w:divBdr>
    </w:div>
    <w:div w:id="1700815967">
      <w:bodyDiv w:val="1"/>
      <w:marLeft w:val="0"/>
      <w:marRight w:val="0"/>
      <w:marTop w:val="0"/>
      <w:marBottom w:val="0"/>
      <w:divBdr>
        <w:top w:val="none" w:sz="0" w:space="0" w:color="auto"/>
        <w:left w:val="none" w:sz="0" w:space="0" w:color="auto"/>
        <w:bottom w:val="none" w:sz="0" w:space="0" w:color="auto"/>
        <w:right w:val="none" w:sz="0" w:space="0" w:color="auto"/>
      </w:divBdr>
    </w:div>
    <w:div w:id="1811244659">
      <w:bodyDiv w:val="1"/>
      <w:marLeft w:val="0"/>
      <w:marRight w:val="0"/>
      <w:marTop w:val="0"/>
      <w:marBottom w:val="0"/>
      <w:divBdr>
        <w:top w:val="none" w:sz="0" w:space="0" w:color="auto"/>
        <w:left w:val="none" w:sz="0" w:space="0" w:color="auto"/>
        <w:bottom w:val="none" w:sz="0" w:space="0" w:color="auto"/>
        <w:right w:val="none" w:sz="0" w:space="0" w:color="auto"/>
      </w:divBdr>
    </w:div>
    <w:div w:id="20267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image" Target="media/image6.png" Id="rId26" /><Relationship Type="http://schemas.openxmlformats.org/officeDocument/2006/relationships/diagramColors" Target="diagrams/colors1.xml" Id="rId39" /><Relationship Type="http://schemas.openxmlformats.org/officeDocument/2006/relationships/image" Target="media/image1.emf" Id="rId21" /><Relationship Type="http://schemas.openxmlformats.org/officeDocument/2006/relationships/diagramColors" Target="diagrams/colors1.xml" Id="rId34" /><Relationship Type="http://schemas.openxmlformats.org/officeDocument/2006/relationships/image" Target="media/image12.png" Id="rId42" /><Relationship Type="http://schemas.openxmlformats.org/officeDocument/2006/relationships/chart" Target="charts/chart2.xml" Id="rId47" /><Relationship Type="http://schemas.openxmlformats.org/officeDocument/2006/relationships/image" Target="media/image16.png" Id="rId50" /><Relationship Type="http://schemas.openxmlformats.org/officeDocument/2006/relationships/image" Target="media/image21.svg" Id="rId55" /><Relationship Type="http://schemas.openxmlformats.org/officeDocument/2006/relationships/settings" Target="settings.xml" Id="rId7" /><Relationship Type="http://schemas.openxmlformats.org/officeDocument/2006/relationships/footer" Target="footer2.xml" Id="rId16" /><Relationship Type="http://schemas.openxmlformats.org/officeDocument/2006/relationships/footer" Target="footer5.xml" Id="rId20" /><Relationship Type="http://schemas.openxmlformats.org/officeDocument/2006/relationships/image" Target="media/image8.png" Id="rId29" /><Relationship Type="http://schemas.openxmlformats.org/officeDocument/2006/relationships/image" Target="media/image11.svg" Id="rId41" /><Relationship Type="http://schemas.openxmlformats.org/officeDocument/2006/relationships/image" Target="media/image20.png" Id="rId54" /><Relationship Type="http://schemas.openxmlformats.org/officeDocument/2006/relationships/theme" Target="theme/theme1.xml" Id="rId62" /><Relationship Type="http://schemas.openxmlformats.org/officeDocument/2006/relationships/styles" Target="styles.xml" Id="rId6" /><Relationship Type="http://schemas.openxmlformats.org/officeDocument/2006/relationships/hyperlink" Target="http://www.connectetfs.com" TargetMode="External" Id="rId11" /><Relationship Type="http://schemas.openxmlformats.org/officeDocument/2006/relationships/image" Target="media/image4.png" Id="rId24" /><Relationship Type="http://schemas.openxmlformats.org/officeDocument/2006/relationships/diagramLayout" Target="diagrams/layout1.xml" Id="rId32" /><Relationship Type="http://schemas.openxmlformats.org/officeDocument/2006/relationships/diagramLayout" Target="diagrams/layout1.xml" Id="rId37" /><Relationship Type="http://schemas.openxmlformats.org/officeDocument/2006/relationships/image" Target="media/image10.png" Id="rId40" /><Relationship Type="http://schemas.openxmlformats.org/officeDocument/2006/relationships/image" Target="media/image130.svg" Id="rId45" /><Relationship Type="http://schemas.openxmlformats.org/officeDocument/2006/relationships/image" Target="media/image19.svg" Id="rId53" /><Relationship Type="http://schemas.openxmlformats.org/officeDocument/2006/relationships/footer" Target="footer7.xml" Id="rId58"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image" Target="media/image3.svg" Id="rId23" /><Relationship Type="http://schemas.openxmlformats.org/officeDocument/2006/relationships/footer" Target="footer6.xml" Id="rId28" /><Relationship Type="http://schemas.openxmlformats.org/officeDocument/2006/relationships/diagramData" Target="diagrams/data1.xml" Id="rId36" /><Relationship Type="http://schemas.openxmlformats.org/officeDocument/2006/relationships/image" Target="media/image15.svg" Id="rId49" /><Relationship Type="http://schemas.openxmlformats.org/officeDocument/2006/relationships/header" Target="header4.xml" Id="rId57" /><Relationship Type="http://schemas.openxmlformats.org/officeDocument/2006/relationships/fontTable" Target="fontTable.xml" Id="rId61"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diagramData" Target="diagrams/data1.xml" Id="rId31" /><Relationship Type="http://schemas.openxmlformats.org/officeDocument/2006/relationships/image" Target="media/image120.png" Id="rId44" /><Relationship Type="http://schemas.openxmlformats.org/officeDocument/2006/relationships/image" Target="media/image18.png" Id="rId52" /><Relationship Type="http://schemas.openxmlformats.org/officeDocument/2006/relationships/footer" Target="footer8.xml" Id="rId60"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image" Target="media/image2.png" Id="rId22" /><Relationship Type="http://schemas.openxmlformats.org/officeDocument/2006/relationships/image" Target="media/image7.svg" Id="rId27" /><Relationship Type="http://schemas.openxmlformats.org/officeDocument/2006/relationships/image" Target="media/image9.svg" Id="rId30" /><Relationship Type="http://schemas.microsoft.com/office/2007/relationships/diagramDrawing" Target="diagrams/drawing1.xml" Id="rId35" /><Relationship Type="http://schemas.openxmlformats.org/officeDocument/2006/relationships/image" Target="media/image13.svg" Id="rId43" /><Relationship Type="http://schemas.openxmlformats.org/officeDocument/2006/relationships/image" Target="media/image14.png" Id="rId48" /><Relationship Type="http://schemas.openxmlformats.org/officeDocument/2006/relationships/hyperlink" Target="http://www.connectetfs.com" TargetMode="External" Id="rId56" /><Relationship Type="http://schemas.openxmlformats.org/officeDocument/2006/relationships/webSettings" Target="webSettings.xml" Id="rId8" /><Relationship Type="http://schemas.openxmlformats.org/officeDocument/2006/relationships/image" Target="media/image17.svg" Id="rId51" /><Relationship Type="http://schemas.openxmlformats.org/officeDocument/2006/relationships/hyperlink" Target="https://gbr01.safelinks.protection.outlook.com/?url=https%3A%2F%2Fconnectetfs.com%2Fdocuments&amp;data=05%7C02%7Cjames.cullinane%40simmons-simmons.com%7Cfd4d4047b08848a619c708de020359e1%7C9c0035ef4799443f8b14c5d60303e8cd%7C0%7C0%7C638950410888607271%7CUnknown%7CTWFpbGZsb3d8eyJFbXB0eU1hcGkiOnRydWUsIlYiOiIwLjAuMDAwMCIsIlAiOiJXaW4zMiIsIkFOIjoiTWFpbCIsIldUIjoyfQ%3D%3D%7C0%7C%7C%7C&amp;sdata=RLrIykBLxQuHir0vHemSD8LtTmN7gbIywgWdT974P1Q%3D&amp;reserved=0" TargetMode="External" Id="rId12" /><Relationship Type="http://schemas.openxmlformats.org/officeDocument/2006/relationships/header" Target="header3.xml" Id="rId17" /><Relationship Type="http://schemas.openxmlformats.org/officeDocument/2006/relationships/image" Target="media/image5.svg" Id="rId25" /><Relationship Type="http://schemas.openxmlformats.org/officeDocument/2006/relationships/diagramQuickStyle" Target="diagrams/quickStyle1.xml" Id="rId33" /><Relationship Type="http://schemas.openxmlformats.org/officeDocument/2006/relationships/diagramQuickStyle" Target="diagrams/quickStyle1.xml" Id="rId38" /><Relationship Type="http://schemas.openxmlformats.org/officeDocument/2006/relationships/chart" Target="charts/chart1.xml" Id="rId46" /><Relationship Type="http://schemas.openxmlformats.org/officeDocument/2006/relationships/header" Target="header5.xml" Id="rId59"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chart1.xml><?xml version="1.0" encoding="utf-8"?>
<c:chartSpace xmlns:mc="http://schemas.openxmlformats.org/markup-compatibility/2006" xmlns:c14="http://schemas.microsoft.com/office/drawing/2007/8/2/chart" xmlns:c16="http://schemas.microsoft.com/office/drawing/2014/chart" xmlns:c15="http://schemas.microsoft.com/office/drawing/2012/chart"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1. Taxonomy-alignment</a:t>
            </a:r>
            <a:r>
              <a:rPr lang="en-US" sz="800" baseline="0"/>
              <a:t> of </a:t>
            </a:r>
            <a:r>
              <a:rPr lang="en-US" sz="800"/>
              <a:t>investments </a:t>
            </a:r>
            <a:r>
              <a:rPr lang="en-US" sz="800" b="1"/>
              <a:t>including sovereign</a:t>
            </a:r>
            <a:r>
              <a:rPr lang="en-US" sz="800" b="1" baseline="0"/>
              <a:t> bonds*</a:t>
            </a:r>
            <a:endParaRPr lang="en-US" sz="1100" b="1"/>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5494581133928411"/>
          <c:y val="0.35209443081909841"/>
          <c:w val="0.31252827806323763"/>
          <c:h val="0.40896232233265922"/>
        </c:manualLayout>
      </c:layout>
      <c:pieChart>
        <c:varyColors val="1"/>
        <c:ser>
          <c:idx val="0"/>
          <c:order val="0"/>
          <c:tx>
            <c:strRef>
              <c:f>Sheet1!$B$1</c:f>
              <c:strCache>
                <c:ptCount val="1"/>
                <c:pt idx="0">
                  <c:v>Taxonomy-aligned investments </c:v>
                </c:pt>
              </c:strCache>
            </c:strRef>
          </c:tx>
          <c:dPt>
            <c:idx val="0"/>
            <c:bubble3D val="0"/>
            <c:spPr>
              <a:solidFill>
                <a:srgbClr val="003300">
                  <a:alpha val="50000"/>
                </a:srgbClr>
              </a:solidFill>
              <a:ln w="19050">
                <a:no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1-6D20-4346-AB67-BD7F0FBA2E03}"/>
              </c:ext>
            </c:extLst>
          </c:dPt>
          <c:dPt>
            <c:idx val="1"/>
            <c:bubble3D val="0"/>
            <c:spPr>
              <a:solidFill>
                <a:srgbClr val="003300">
                  <a:alpha val="70000"/>
                </a:srgbClr>
              </a:solidFill>
              <a:ln w="19050">
                <a:no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3-6D20-4346-AB67-BD7F0FBA2E03}"/>
              </c:ext>
            </c:extLst>
          </c:dPt>
          <c:dPt>
            <c:idx val="2"/>
            <c:bubble3D val="0"/>
            <c:spPr>
              <a:solidFill>
                <a:srgbClr val="003300"/>
              </a:solidFill>
              <a:ln w="19050">
                <a:no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5-6D20-4346-AB67-BD7F0FBA2E03}"/>
              </c:ext>
            </c:extLst>
          </c:dPt>
          <c:dPt>
            <c:idx val="3"/>
            <c:bubble3D val="0"/>
            <c:spPr>
              <a:solidFill>
                <a:schemeClr val="bg1">
                  <a:lumMod val="85000"/>
                </a:schemeClr>
              </a:solidFill>
              <a:ln w="19050">
                <a:no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7-6D20-4346-AB67-BD7F0FBA2E03}"/>
              </c:ext>
            </c:extLst>
          </c:dPt>
          <c:dLbls>
            <c:dLbl>
              <c:idx val="0"/>
              <c:tx>
                <c:rich>
                  <a:bodyPr/>
                  <a:lstStyle/>
                  <a:p>
                    <a:r>
                      <a:rPr lang="en-US"/>
                      <a:t>0%</a:t>
                    </a:r>
                  </a:p>
                </c:rich>
              </c:tx>
              <c:dLblPos val="inEnd"/>
              <c:showLegendKey val="0"/>
              <c:showVal val="0"/>
              <c:showCatName val="0"/>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01-6D20-4346-AB67-BD7F0FBA2E03}"/>
                </c:ext>
              </c:extLst>
            </c:dLbl>
            <c:dLbl>
              <c:idx val="1"/>
              <c:tx>
                <c:rich>
                  <a:bodyPr/>
                  <a:lstStyle/>
                  <a:p>
                    <a:r>
                      <a:rPr lang="en-US"/>
                      <a:t>0%</a:t>
                    </a:r>
                  </a:p>
                </c:rich>
              </c:tx>
              <c:dLblPos val="inEnd"/>
              <c:showLegendKey val="0"/>
              <c:showVal val="0"/>
              <c:showCatName val="0"/>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03-6D20-4346-AB67-BD7F0FBA2E03}"/>
                </c:ext>
              </c:extLst>
            </c:dLbl>
            <c:dLbl>
              <c:idx val="2"/>
              <c:tx>
                <c:rich>
                  <a:bodyPr/>
                  <a:lstStyle/>
                  <a:p>
                    <a:r>
                      <a:rPr lang="en-US"/>
                      <a:t>0%</a:t>
                    </a:r>
                  </a:p>
                </c:rich>
              </c:tx>
              <c:dLblPos val="inEnd"/>
              <c:showLegendKey val="0"/>
              <c:showVal val="0"/>
              <c:showCatName val="0"/>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05-6D20-4346-AB67-BD7F0FBA2E03}"/>
                </c:ext>
              </c:extLst>
            </c:dLbl>
            <c:dLbl>
              <c:idx val="3"/>
              <c:tx>
                <c:rich>
                  <a:bodyPr/>
                  <a:lstStyle/>
                  <a:p>
                    <a:r>
                      <a:rPr lang="en-US"/>
                      <a:t>0%</a:t>
                    </a:r>
                  </a:p>
                </c:rich>
              </c:tx>
              <c:dLblPos val="inEnd"/>
              <c:showLegendKey val="0"/>
              <c:showVal val="0"/>
              <c:showCatName val="0"/>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07-6D20-4346-AB67-BD7F0FBA2E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Lst>
          </c:dLbls>
          <c:cat>
            <c:strRef>
              <c:f>Sheet1!$A$2:$A$5</c:f>
              <c:strCache>
                <c:ptCount val="4"/>
                <c:pt idx="0">
                  <c:v>Taxonomy-aligned: Fossil gas</c:v>
                </c:pt>
                <c:pt idx="1">
                  <c:v>Taxonomy-aligned: Nuclear</c:v>
                </c:pt>
                <c:pt idx="2">
                  <c:v>Taxonomy-aligned (no fossil gas &amp; nuclear)</c:v>
                </c:pt>
                <c:pt idx="3">
                  <c:v>Non Taxonomy-aligned </c:v>
                </c:pt>
              </c:strCache>
            </c:strRef>
          </c:cat>
          <c:val>
            <c:numRef>
              <c:f>Sheet1!$B$2:$B$5</c:f>
              <c:numCache>
                <c:formatCode>General</c:formatCode>
                <c:ptCount val="4"/>
                <c:pt idx="0">
                  <c:v>0.25</c:v>
                </c:pt>
                <c:pt idx="1">
                  <c:v>0.25</c:v>
                </c:pt>
                <c:pt idx="2">
                  <c:v>0.25</c:v>
                </c:pt>
                <c:pt idx="3">
                  <c:v>0.25</c:v>
                </c:pt>
              </c:numCache>
            </c:numRef>
          </c:val>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8-6D20-4346-AB67-BD7F0FBA2E03}"/>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3.2301439769917402E-2"/>
          <c:y val="0.29558969063293322"/>
          <c:w val="0.48840599407256718"/>
          <c:h val="0.5568406408215366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mc="http://schemas.openxmlformats.org/markup-compatibility/2006" xmlns:c14="http://schemas.microsoft.com/office/drawing/2007/8/2/chart" xmlns:c16="http://schemas.microsoft.com/office/drawing/2014/chart" xmlns:c15="http://schemas.microsoft.com/office/drawing/2012/chart"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2. Taxonomy-alignment</a:t>
            </a:r>
            <a:r>
              <a:rPr lang="en-US" sz="800" baseline="0"/>
              <a:t> of </a:t>
            </a:r>
            <a:r>
              <a:rPr lang="en-US" sz="800"/>
              <a:t>investments </a:t>
            </a:r>
            <a:r>
              <a:rPr lang="en-US" sz="800" b="1"/>
              <a:t>excluding sovereign</a:t>
            </a:r>
            <a:r>
              <a:rPr lang="en-US" sz="800" b="1" baseline="0"/>
              <a:t> bonds*</a:t>
            </a:r>
            <a:endParaRPr lang="en-US" sz="1100" b="1">
              <a:highlight>
                <a:srgbClr val="FFFF00"/>
              </a:highlight>
            </a:endParaRPr>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4615105817021858"/>
          <c:y val="0.28694978701432811"/>
          <c:w val="0.30726126259789532"/>
          <c:h val="0.48001496659006776"/>
        </c:manualLayout>
      </c:layout>
      <c:pieChart>
        <c:varyColors val="1"/>
        <c:ser>
          <c:idx val="0"/>
          <c:order val="0"/>
          <c:tx>
            <c:strRef>
              <c:f>Sheet1!$B$1</c:f>
              <c:strCache>
                <c:ptCount val="1"/>
                <c:pt idx="0">
                  <c:v>Taxonomy-aligned investments </c:v>
                </c:pt>
              </c:strCache>
            </c:strRef>
          </c:tx>
          <c:spPr>
            <a:ln>
              <a:noFill/>
            </a:ln>
          </c:spPr>
          <c:dPt>
            <c:idx val="0"/>
            <c:bubble3D val="0"/>
            <c:spPr>
              <a:solidFill>
                <a:srgbClr val="003300">
                  <a:alpha val="50000"/>
                </a:srgbClr>
              </a:solidFill>
              <a:ln w="19050">
                <a:no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1-DC48-4DD7-80A8-6D0B560536CC}"/>
              </c:ext>
            </c:extLst>
          </c:dPt>
          <c:dPt>
            <c:idx val="1"/>
            <c:bubble3D val="0"/>
            <c:spPr>
              <a:solidFill>
                <a:srgbClr val="003300">
                  <a:alpha val="70000"/>
                </a:srgbClr>
              </a:solidFill>
              <a:ln w="19050">
                <a:no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3-DC48-4DD7-80A8-6D0B560536CC}"/>
              </c:ext>
            </c:extLst>
          </c:dPt>
          <c:dPt>
            <c:idx val="2"/>
            <c:bubble3D val="0"/>
            <c:spPr>
              <a:solidFill>
                <a:srgbClr val="003300"/>
              </a:solidFill>
              <a:ln w="19050">
                <a:no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5-DC48-4DD7-80A8-6D0B560536CC}"/>
              </c:ext>
            </c:extLst>
          </c:dPt>
          <c:dPt>
            <c:idx val="3"/>
            <c:bubble3D val="0"/>
            <c:spPr>
              <a:solidFill>
                <a:schemeClr val="bg1">
                  <a:lumMod val="85000"/>
                </a:schemeClr>
              </a:solidFill>
              <a:ln w="19050">
                <a:no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7-DC48-4DD7-80A8-6D0B560536CC}"/>
              </c:ext>
            </c:extLst>
          </c:dPt>
          <c:dLbls>
            <c:dLbl>
              <c:idx val="0"/>
              <c:tx>
                <c:rich>
                  <a:bodyPr rot="0" spcFirstLastPara="1" vertOverflow="overflow" horzOverflow="overflow"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a:solidFill>
                          <a:schemeClr val="bg1"/>
                        </a:solidFill>
                      </a:rPr>
                      <a:t>0%</a:t>
                    </a:r>
                  </a:p>
                </c:rich>
              </c:tx>
              <c:spPr>
                <a:noFill/>
                <a:ln>
                  <a:noFill/>
                </a:ln>
                <a:effectLst/>
              </c:spPr>
              <c:txPr>
                <a:bodyPr rot="0" spcFirstLastPara="1" vertOverflow="overflow" horzOverflow="overflow"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rect">
                      <a:avLst/>
                    </a:prstGeom>
                    <a:noFill/>
                    <a:ln>
                      <a:noFill/>
                    </a:ln>
                  </c15:spPr>
                  <c15:showDataLabelsRange val="0"/>
                </c:ext>
                <c:ext xmlns:c16="http://schemas.microsoft.com/office/drawing/2014/chart" uri="{C3380CC4-5D6E-409C-BE32-E72D297353CC}">
                  <c16:uniqueId val="{00000001-DC48-4DD7-80A8-6D0B560536CC}"/>
                </c:ext>
              </c:extLst>
            </c:dLbl>
            <c:dLbl>
              <c:idx val="1"/>
              <c:tx>
                <c:rich>
                  <a:bodyPr/>
                  <a:lstStyle/>
                  <a:p>
                    <a:r>
                      <a:rPr lang="en-US">
                        <a:solidFill>
                          <a:schemeClr val="bg1"/>
                        </a:solidFill>
                      </a:rPr>
                      <a:t>0%</a:t>
                    </a:r>
                  </a:p>
                </c:rich>
              </c:tx>
              <c:dLblPos val="inEnd"/>
              <c:showLegendKey val="0"/>
              <c:showVal val="0"/>
              <c:showCatName val="0"/>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03-DC48-4DD7-80A8-6D0B560536CC}"/>
                </c:ext>
              </c:extLst>
            </c:dLbl>
            <c:dLbl>
              <c:idx val="2"/>
              <c:tx>
                <c:rich>
                  <a:bodyPr/>
                  <a:lstStyle/>
                  <a:p>
                    <a:r>
                      <a:rPr lang="en-US"/>
                      <a:t>0%</a:t>
                    </a:r>
                  </a:p>
                </c:rich>
              </c:tx>
              <c:dLblPos val="inEnd"/>
              <c:showLegendKey val="0"/>
              <c:showVal val="0"/>
              <c:showCatName val="0"/>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05-DC48-4DD7-80A8-6D0B560536CC}"/>
                </c:ext>
              </c:extLst>
            </c:dLbl>
            <c:dLbl>
              <c:idx val="3"/>
              <c:tx>
                <c:rich>
                  <a:bodyPr/>
                  <a:lstStyle/>
                  <a:p>
                    <a:r>
                      <a:rPr lang="en-US"/>
                      <a:t>0%</a:t>
                    </a:r>
                  </a:p>
                </c:rich>
              </c:tx>
              <c:dLblPos val="inEnd"/>
              <c:showLegendKey val="0"/>
              <c:showVal val="0"/>
              <c:showCatName val="0"/>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07-DC48-4DD7-80A8-6D0B560536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1"/>
            <c:showBubbleSize val="0"/>
            <c:showLeaderLines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Lst>
          </c:dLbls>
          <c:cat>
            <c:strRef>
              <c:f>Sheet1!$A$2:$A$5</c:f>
              <c:strCache>
                <c:ptCount val="4"/>
                <c:pt idx="0">
                  <c:v>Taxonomy-aligned: Fossil gas</c:v>
                </c:pt>
                <c:pt idx="1">
                  <c:v>Taxonomy-aligned: Nuclear</c:v>
                </c:pt>
                <c:pt idx="2">
                  <c:v> Taxonomy-aligned (no fossil gas &amp; nuclear)</c:v>
                </c:pt>
                <c:pt idx="3">
                  <c:v>Non Taxonomy-aligned </c:v>
                </c:pt>
              </c:strCache>
            </c:strRef>
          </c:cat>
          <c:val>
            <c:numRef>
              <c:f>Sheet1!$B$2:$B$5</c:f>
              <c:numCache>
                <c:formatCode>General</c:formatCode>
                <c:ptCount val="4"/>
                <c:pt idx="0">
                  <c:v>0.25</c:v>
                </c:pt>
                <c:pt idx="1">
                  <c:v>0.25</c:v>
                </c:pt>
                <c:pt idx="2">
                  <c:v>0.25</c:v>
                </c:pt>
                <c:pt idx="3">
                  <c:v>0.25</c:v>
                </c:pt>
              </c:numCache>
            </c:numRef>
          </c:val>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8-DC48-4DD7-80A8-6D0B560536CC}"/>
            </c:ext>
          </c:extLst>
        </c:ser>
        <c:dLbls>
          <c:showLegendKey val="0"/>
          <c:showVal val="1"/>
          <c:showCatName val="0"/>
          <c:showSerName val="0"/>
          <c:showPercent val="0"/>
          <c:showBubbleSize val="0"/>
          <c:showLeaderLines val="0"/>
        </c:dLbls>
        <c:firstSliceAng val="0"/>
      </c:pieChart>
      <c:spPr>
        <a:noFill/>
        <a:ln>
          <a:noFill/>
        </a:ln>
        <a:effectLst/>
      </c:spPr>
    </c:plotArea>
    <c:legend>
      <c:legendPos val="l"/>
      <c:layout>
        <c:manualLayout>
          <c:xMode val="edge"/>
          <c:yMode val="edge"/>
          <c:x val="3.2301480484522208E-2"/>
          <c:y val="0.25691078985185722"/>
          <c:w val="0.493236400631617"/>
          <c:h val="0.5939962422729945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sp="http://schemas.microsoft.com/office/drawing/2008/diagram"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875685" y="396909"/>
          <a:ext cx="1257281" cy="383470"/>
        </a:xfrm>
        <a:prstGeom prst="rect">
          <a:avLst/>
        </a:prstGeom>
        <a:solidFill>
          <a:sysClr val="window" lastClr="FFFFFF">
            <a:lumMod val="85000"/>
          </a:sysClr>
        </a:solidFill>
        <a:ln>
          <a:noFill/>
        </a:ln>
        <a:effectLst/>
      </dgm:spPr>
      <dgm:t>
        <a:bodyPr/>
        <a:lstStyle/>
        <a:p>
          <a:pPr>
            <a:buNone/>
          </a:pPr>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2384423" y="793502"/>
          <a:ext cx="1257281" cy="383470"/>
        </a:xfrm>
        <a:prstGeom prst="rect">
          <a:avLst/>
        </a:prstGeom>
        <a:solidFill>
          <a:sysClr val="window" lastClr="FFFFFF">
            <a:lumMod val="85000"/>
          </a:sysClr>
        </a:solidFill>
        <a:ln>
          <a:noFill/>
        </a:ln>
        <a:effectLst/>
      </dgm:spPr>
      <dgm:t>
        <a:bodyPr/>
        <a:lstStyle/>
        <a:p>
          <a:pPr>
            <a:buNone/>
          </a:pPr>
          <a:r>
            <a:rPr lang="en-US" sz="900">
              <a:solidFill>
                <a:sysClr val="windowText" lastClr="000000"/>
              </a:solidFill>
              <a:latin typeface="Calibri" panose="020F0502020204030204"/>
              <a:ea typeface="+mn-ea"/>
              <a:cs typeface="+mn-cs"/>
            </a:rPr>
            <a:t>#2 Other</a:t>
          </a:r>
        </a:p>
        <a:p>
          <a:pPr>
            <a:buNone/>
          </a:pPr>
          <a:r>
            <a:rPr lang="en-US" sz="900">
              <a:solidFill>
                <a:sysClr val="windowText" lastClr="000000"/>
              </a:solidFill>
              <a:latin typeface="Calibri" panose="020F0502020204030204"/>
              <a:ea typeface="+mn-ea"/>
              <a:cs typeface="+mn-cs"/>
            </a:rPr>
            <a:t>20%</a:t>
          </a:r>
        </a:p>
      </dgm:t>
    </dgm:pt>
    <dgm:pt modelId="{4F8FD65B-707D-4E8A-ACF6-1D393F8B1364}" type="parTrans" cxnId="{D50424B9-12EE-47D7-B182-B8F6A657FD90}">
      <dgm:prSet/>
      <dgm:spPr>
        <a:xfrm>
          <a:off x="2132966" y="588645"/>
          <a:ext cx="251456" cy="396592"/>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2384423" y="317"/>
          <a:ext cx="1257281" cy="636024"/>
        </a:xfrm>
        <a:prstGeom prst="rect">
          <a:avLst/>
        </a:prstGeom>
        <a:solidFill>
          <a:srgbClr val="009900"/>
        </a:solidFill>
        <a:ln>
          <a:noFill/>
        </a:ln>
        <a:effectLst/>
      </dgm:spPr>
      <dgm:t>
        <a:bodyPr/>
        <a:lstStyle/>
        <a:p>
          <a:pPr>
            <a:buNone/>
          </a:pPr>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Aligned with E/S characteristics</a:t>
          </a:r>
        </a:p>
        <a:p>
          <a:pPr>
            <a:buNone/>
          </a:pPr>
          <a:r>
            <a:rPr lang="en-GB" sz="900" b="0">
              <a:solidFill>
                <a:sysClr val="windowText" lastClr="000000">
                  <a:hueOff val="0"/>
                  <a:satOff val="0"/>
                  <a:lumOff val="0"/>
                  <a:alphaOff val="0"/>
                </a:sysClr>
              </a:solidFill>
              <a:latin typeface="Calibri" panose="020F0502020204030204"/>
              <a:ea typeface="+mn-ea"/>
              <a:cs typeface="+mn-cs"/>
            </a:rPr>
            <a:t>80%</a:t>
          </a:r>
        </a:p>
      </dgm:t>
    </dgm:pt>
    <dgm:pt modelId="{1E2F1981-BED9-4230-9246-096F3B342E11}" type="parTrans" cxnId="{5479E03F-8D20-47AE-B915-AB977B18E1CC}">
      <dgm:prSet/>
      <dgm:spPr>
        <a:xfrm>
          <a:off x="2132966" y="318329"/>
          <a:ext cx="251456" cy="270315"/>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87DAD778-449B-40ED-9102-E3EF410CEB64}" type="presOf" srcId="{6515EA1F-6142-455D-B2EF-4835D4BB4A47}" destId="{A1D575D6-1B97-49E3-9270-D063D68EF887}" srcOrd="1" destOrd="0" presId="urn:microsoft.com/office/officeart/2009/3/layout/HorizontalOrganizationChart"/>
    <dgm:cxn modelId="{7CA9B497-C889-47C3-B33F-40827FF1A611}" type="presOf" srcId="{1E2F1981-BED9-4230-9246-096F3B342E11}" destId="{EA282787-665B-4D4F-A264-A2E1DB5E187F}" srcOrd="0" destOrd="0" presId="urn:microsoft.com/office/officeart/2009/3/layout/HorizontalOrganizationChart"/>
    <dgm:cxn modelId="{BE2D33A7-2EAC-420B-A18F-4E9E947E1863}" type="presOf" srcId="{42FD7E69-ECFA-4C70-B560-BD652BCA4295}" destId="{5EB9C7DD-C466-4E7F-AAD5-7944FFC10AFD}"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2132966" y="588645"/>
          <a:ext cx="251456" cy="396592"/>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2132966" y="318329"/>
          <a:ext cx="251456" cy="270315"/>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875685" y="396909"/>
          <a:ext cx="1257281" cy="383470"/>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Investments</a:t>
          </a:r>
        </a:p>
      </dsp:txBody>
      <dsp:txXfrm>
        <a:off x="875685" y="396909"/>
        <a:ext cx="1257281" cy="383470"/>
      </dsp:txXfrm>
    </dsp:sp>
    <dsp:sp modelId="{BD3BAF88-97F0-46F4-AF7C-A396DD664F0D}">
      <dsp:nvSpPr>
        <dsp:cNvPr id="0" name=""/>
        <dsp:cNvSpPr/>
      </dsp:nvSpPr>
      <dsp:spPr>
        <a:xfrm>
          <a:off x="2384423" y="317"/>
          <a:ext cx="1257281" cy="636024"/>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#1</a:t>
          </a:r>
          <a:r>
            <a:rPr lang="en-GB" sz="900" b="1" kern="1200">
              <a:solidFill>
                <a:sysClr val="windowText" lastClr="000000">
                  <a:hueOff val="0"/>
                  <a:satOff val="0"/>
                  <a:lumOff val="0"/>
                  <a:alphaOff val="0"/>
                </a:sysClr>
              </a:solidFill>
              <a:latin typeface="Calibri" panose="020F0502020204030204"/>
              <a:ea typeface="+mn-ea"/>
              <a:cs typeface="+mn-cs"/>
            </a:rPr>
            <a:t> </a:t>
          </a:r>
          <a:r>
            <a:rPr lang="en-GB" sz="900" b="0" kern="1200">
              <a:solidFill>
                <a:sysClr val="windowText" lastClr="000000">
                  <a:hueOff val="0"/>
                  <a:satOff val="0"/>
                  <a:lumOff val="0"/>
                  <a:alphaOff val="0"/>
                </a:sysClr>
              </a:solidFill>
              <a:latin typeface="Calibri" panose="020F0502020204030204"/>
              <a:ea typeface="+mn-ea"/>
              <a:cs typeface="+mn-cs"/>
            </a:rPr>
            <a:t>Aligned with E/S characteristics</a:t>
          </a:r>
        </a:p>
        <a:p>
          <a:pPr marL="0" lvl="0" indent="0" algn="ctr" defTabSz="444500">
            <a:lnSpc>
              <a:spcPct val="90000"/>
            </a:lnSpc>
            <a:spcBef>
              <a:spcPct val="0"/>
            </a:spcBef>
            <a:spcAft>
              <a:spcPct val="35000"/>
            </a:spcAft>
            <a:buNone/>
          </a:pPr>
          <a:r>
            <a:rPr lang="en-GB" sz="900" b="0" kern="1200">
              <a:solidFill>
                <a:sysClr val="windowText" lastClr="000000">
                  <a:hueOff val="0"/>
                  <a:satOff val="0"/>
                  <a:lumOff val="0"/>
                  <a:alphaOff val="0"/>
                </a:sysClr>
              </a:solidFill>
              <a:latin typeface="Calibri" panose="020F0502020204030204"/>
              <a:ea typeface="+mn-ea"/>
              <a:cs typeface="+mn-cs"/>
            </a:rPr>
            <a:t>80%</a:t>
          </a:r>
        </a:p>
      </dsp:txBody>
      <dsp:txXfrm>
        <a:off x="2384423" y="317"/>
        <a:ext cx="1257281" cy="636024"/>
      </dsp:txXfrm>
    </dsp:sp>
    <dsp:sp modelId="{226B17C5-6474-4423-A47F-CFC1D1F36659}">
      <dsp:nvSpPr>
        <dsp:cNvPr id="0" name=""/>
        <dsp:cNvSpPr/>
      </dsp:nvSpPr>
      <dsp:spPr>
        <a:xfrm>
          <a:off x="2384423" y="793502"/>
          <a:ext cx="1257281" cy="383470"/>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#2 Other</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20%</a:t>
          </a:r>
        </a:p>
      </dsp:txBody>
      <dsp:txXfrm>
        <a:off x="2384423" y="793502"/>
        <a:ext cx="1257281" cy="383470"/>
      </dsp:txXfrm>
    </dsp:sp>
  </dsp:spTree>
</dsp:drawing>
</file>

<file path=word/diagrams/layout1.xml><?xml version="1.0" encoding="utf-8"?>
<dgm:layoutDef xmlns:r="http://schemas.openxmlformats.org/officeDocument/2006/relationships"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0.92954</cdr:x>
      <cdr:y>0.26141</cdr:y>
    </cdr:from>
    <cdr:to>
      <cdr:x>1</cdr:x>
      <cdr:y>0.34223</cdr:y>
    </cdr:to>
    <cdr:sp macro="" textlink="">
      <cdr:nvSpPr>
        <cdr:cNvPr id="4" name="TextBox 4"/>
        <cdr:cNvSpPr txBox="1"/>
      </cdr:nvSpPr>
      <cdr:spPr>
        <a:xfrm xmlns:a="http://schemas.openxmlformats.org/drawingml/2006/main">
          <a:off x="2120206" y="455657"/>
          <a:ext cx="160714" cy="140876"/>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p xmlns:a="http://schemas.openxmlformats.org/drawingml/2006/main">
          <a:pPr fontAlgn="base">
            <a:spcAft>
              <a:spcPts val="0"/>
            </a:spcAft>
          </a:pPr>
          <a:r>
            <a:rPr lang="nl-NL" sz="900" b="1" kern="1200">
              <a:solidFill>
                <a:srgbClr val="003300"/>
              </a:solidFill>
              <a:effectLst/>
              <a:latin typeface="+mn-lt"/>
              <a:ea typeface="Times New Roman" panose="02020603050405020304" pitchFamily="18" charset="0"/>
              <a:cs typeface="Arial" panose="020B0604020202020204" pitchFamily="34" charset="0"/>
            </a:rPr>
            <a:t>0%</a:t>
          </a:r>
          <a:endParaRPr lang="en-GB" sz="1600">
            <a:effectLst/>
            <a:latin typeface="+mn-lt"/>
            <a:ea typeface="Times New Roman" panose="02020603050405020304" pitchFamily="18" charset="0"/>
          </a:endParaRPr>
        </a:p>
      </cdr:txBody>
    </cdr:sp>
  </cdr:relSizeAnchor>
  <cdr:relSizeAnchor xmlns:cdr="http://schemas.openxmlformats.org/drawingml/2006/chartDrawing">
    <cdr:from>
      <cdr:x>0.57711</cdr:x>
      <cdr:y>0.2481</cdr:y>
    </cdr:from>
    <cdr:to>
      <cdr:x>0.96548</cdr:x>
      <cdr:y>0.77533</cdr:y>
    </cdr:to>
    <cdr:sp macro="" textlink="">
      <cdr:nvSpPr>
        <cdr:cNvPr id="5" name="Arc 4"/>
        <cdr:cNvSpPr/>
      </cdr:nvSpPr>
      <cdr:spPr>
        <a:xfrm xmlns:a="http://schemas.openxmlformats.org/drawingml/2006/main" rot="471019">
          <a:off x="1316342" y="432457"/>
          <a:ext cx="885841" cy="919001"/>
        </a:xfrm>
        <a:prstGeom xmlns:a="http://schemas.openxmlformats.org/drawingml/2006/main" prst="arc">
          <a:avLst>
            <a:gd name="adj1" fmla="val 15026549"/>
            <a:gd name="adj2" fmla="val 1922135"/>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userShapes>
</file>

<file path=word/drawings/drawing2.xml><?xml version="1.0" encoding="utf-8"?>
<c:userShapes xmlns:c="http://schemas.openxmlformats.org/drawingml/2006/chart">
  <cdr:relSizeAnchor xmlns:cdr="http://schemas.openxmlformats.org/drawingml/2006/chartDrawing">
    <cdr:from>
      <cdr:x>0.48708</cdr:x>
      <cdr:y>0.22474</cdr:y>
    </cdr:from>
    <cdr:to>
      <cdr:x>0.95103</cdr:x>
      <cdr:y>0.80396</cdr:y>
    </cdr:to>
    <cdr:sp macro="" textlink="">
      <cdr:nvSpPr>
        <cdr:cNvPr id="2" name="Arc 1"/>
        <cdr:cNvSpPr/>
      </cdr:nvSpPr>
      <cdr:spPr>
        <a:xfrm xmlns:a="http://schemas.openxmlformats.org/drawingml/2006/main" rot="1069177">
          <a:off x="1149034" y="391731"/>
          <a:ext cx="1094470" cy="1009624"/>
        </a:xfrm>
        <a:prstGeom xmlns:a="http://schemas.openxmlformats.org/drawingml/2006/main" prst="arc">
          <a:avLst>
            <a:gd name="adj1" fmla="val 15849707"/>
            <a:gd name="adj2" fmla="val 6405616"/>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p xmlns:a="http://schemas.openxmlformats.org/drawingml/2006/main">
          <a:endParaRPr lang="en-GB"/>
        </a:p>
      </cdr:txBody>
    </cdr:sp>
  </cdr:relSizeAnchor>
  <cdr:relSizeAnchor xmlns:cdr="http://schemas.openxmlformats.org/drawingml/2006/chartDrawing">
    <cdr:from>
      <cdr:x>0.93284</cdr:x>
      <cdr:y>0.29798</cdr:y>
    </cdr:from>
    <cdr:to>
      <cdr:x>0.99787</cdr:x>
      <cdr:y>0.3788</cdr:y>
    </cdr:to>
    <cdr:sp macro="" textlink="">
      <cdr:nvSpPr>
        <cdr:cNvPr id="3" name="TextBox 4"/>
        <cdr:cNvSpPr txBox="1"/>
      </cdr:nvSpPr>
      <cdr:spPr>
        <a:xfrm xmlns:a="http://schemas.openxmlformats.org/drawingml/2006/main">
          <a:off x="2200589" y="519401"/>
          <a:ext cx="153411" cy="140872"/>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p xmlns:a="http://schemas.openxmlformats.org/drawingml/2006/main">
          <a:pPr fontAlgn="base">
            <a:spcAft>
              <a:spcPts val="0"/>
            </a:spcAft>
          </a:pPr>
          <a:r>
            <a:rPr lang="nl-NL" sz="900" b="1" kern="1200">
              <a:solidFill>
                <a:srgbClr val="003300"/>
              </a:solidFill>
              <a:effectLst/>
              <a:latin typeface="+mn-lt"/>
              <a:ea typeface="Times New Roman" panose="02020603050405020304" pitchFamily="18" charset="0"/>
              <a:cs typeface="Arial" panose="020B0604020202020204" pitchFamily="34" charset="0"/>
            </a:rPr>
            <a:t>0%</a:t>
          </a:r>
          <a:endParaRPr lang="en-GB" sz="1600">
            <a:effectLst/>
            <a:latin typeface="+mn-lt"/>
            <a:ea typeface="Times New Roman" panose="02020603050405020304" pitchFamily="18" charset="0"/>
          </a:endParaRPr>
        </a:p>
      </cdr:txBody>
    </cdr:sp>
  </cdr:relSizeAnchor>
  <cdr:relSizeAnchor xmlns:cdr="http://schemas.openxmlformats.org/drawingml/2006/chartDrawing">
    <cdr:from>
      <cdr:x>0</cdr:x>
      <cdr:y>0.89836</cdr:y>
    </cdr:from>
    <cdr:to>
      <cdr:x>1</cdr:x>
      <cdr:y>1</cdr:y>
    </cdr:to>
    <cdr:sp macro="" textlink="">
      <cdr:nvSpPr>
        <cdr:cNvPr id="4" name="Text Box 2"/>
        <cdr:cNvSpPr txBox="1"/>
      </cdr:nvSpPr>
      <cdr:spPr>
        <a:xfrm xmlns:a="http://schemas.openxmlformats.org/drawingml/2006/main">
          <a:off x="0" y="1565910"/>
          <a:ext cx="2359025" cy="17716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1200"/>
            </a:spcAft>
          </a:pPr>
          <a:r>
            <a:rPr lang="en-GB" sz="800">
              <a:solidFill>
                <a:srgbClr val="4F4F4F"/>
              </a:solidFill>
              <a:effectLst/>
              <a:latin typeface="Calibri" panose="020F0502020204030204" pitchFamily="34" charset="0"/>
              <a:ea typeface="Times New Roman" panose="02020603050405020304" pitchFamily="18" charset="0"/>
              <a:cs typeface="Times New Roman" panose="02020603050405020304" pitchFamily="18" charset="0"/>
            </a:rPr>
            <a:t>This graph represents x% of the total investments.</a:t>
          </a:r>
          <a:endParaRPr lang="en-GB" sz="11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2025-11-04T09:48:43.0000000Z</dcterms:created>
  <dcterms:modified xsi:type="dcterms:W3CDTF">2025-11-04T09:48:43.0000000Z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-122777402</vt:i4>
  </property>
  <property fmtid="{D5CDD505-2E9C-101B-9397-08002B2CF9AE}" pid="3" name="_NewReviewCycle">
    <vt:lpwstr/>
  </property>
  <property fmtid="{D5CDD505-2E9C-101B-9397-08002B2CF9AE}" pid="4" name="_EmailSubject">
    <vt:lpwstr>Connect ETF ICAV - Website Document Updates</vt:lpwstr>
  </property>
  <property fmtid="{D5CDD505-2E9C-101B-9397-08002B2CF9AE}" pid="5" name="_AuthorEmail">
    <vt:lpwstr>roisin.dawson@carnegroup.com</vt:lpwstr>
  </property>
  <property fmtid="{D5CDD505-2E9C-101B-9397-08002B2CF9AE}" pid="6" name="_AuthorEmailDisplayName">
    <vt:lpwstr>Roisin Dawson</vt:lpwstr>
  </property>
</Properties>
</file>